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9264" behindDoc="1" locked="0" layoutInCell="1" allowOverlap="1">
            <wp:simplePos x="0" y="0"/>
            <wp:positionH relativeFrom="column">
              <wp:posOffset>-973455</wp:posOffset>
            </wp:positionH>
            <wp:positionV relativeFrom="page">
              <wp:posOffset>-4445</wp:posOffset>
            </wp:positionV>
            <wp:extent cx="7559040" cy="10692130"/>
            <wp:effectExtent l="0" t="0" r="0" b="0"/>
            <wp:wrapNone/>
            <wp:docPr id="1" name="图片 5" descr="公开封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公开封面2"/>
                    <pic:cNvPicPr>
                      <a:picLocks noChangeAspect="1"/>
                    </pic:cNvPicPr>
                  </pic:nvPicPr>
                  <pic:blipFill>
                    <a:blip r:embed="rId10"/>
                    <a:stretch>
                      <a:fillRect/>
                    </a:stretch>
                  </pic:blipFill>
                  <pic:spPr>
                    <a:xfrm>
                      <a:off x="0" y="0"/>
                      <a:ext cx="7559040" cy="10692130"/>
                    </a:xfrm>
                    <a:prstGeom prst="rect">
                      <a:avLst/>
                    </a:prstGeom>
                    <a:noFill/>
                    <a:ln w="9525" cap="flat" cmpd="sng">
                      <a:noFill/>
                      <a:prstDash val="solid"/>
                      <a:miter/>
                    </a:ln>
                  </pic:spPr>
                </pic:pic>
              </a:graphicData>
            </a:graphic>
          </wp:anchor>
        </w:drawing>
      </w:r>
      <w:r>
        <w:rPr>
          <w:rFonts w:hint="eastAsia"/>
          <w:lang w:val="en-US" w:eastAsia="zh-CN"/>
        </w:rPr>
        <w:t>4</w:t>
      </w:r>
      <w:r>
        <w:br w:type="page"/>
      </w:r>
    </w:p>
    <w:p>
      <w:pPr>
        <w:rPr>
          <w:rFonts w:ascii="黑体" w:eastAsia="黑体" w:cs="黑体"/>
          <w:sz w:val="72"/>
          <w:szCs w:val="96"/>
        </w:rPr>
      </w:pPr>
    </w:p>
    <w:p>
      <w:pPr>
        <w:rPr>
          <w:rFonts w:ascii="黑体" w:eastAsia="黑体" w:cs="黑体"/>
          <w:sz w:val="72"/>
          <w:szCs w:val="96"/>
        </w:rPr>
      </w:pPr>
      <w:r>
        <w:rPr>
          <w:rFonts w:hint="eastAsia" w:ascii="黑体" w:eastAsia="黑体" w:cs="黑体"/>
          <w:sz w:val="72"/>
          <w:szCs w:val="96"/>
        </w:rPr>
        <w:t>2020年度部门决算公开文本</w:t>
      </w:r>
    </w:p>
    <w:p>
      <w:pPr>
        <w:spacing w:line="36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480" w:lineRule="auto"/>
        <w:jc w:val="center"/>
        <w:rPr>
          <w:rFonts w:ascii="黑体" w:eastAsia="黑体" w:cs="黑体"/>
          <w:sz w:val="56"/>
          <w:szCs w:val="72"/>
        </w:rPr>
      </w:pPr>
    </w:p>
    <w:p>
      <w:pPr>
        <w:spacing w:line="480" w:lineRule="auto"/>
        <w:jc w:val="both"/>
        <w:rPr>
          <w:rFonts w:ascii="黑体" w:eastAsia="黑体" w:cs="黑体"/>
          <w:sz w:val="56"/>
          <w:szCs w:val="72"/>
        </w:rPr>
      </w:pPr>
    </w:p>
    <w:p>
      <w:pPr>
        <w:spacing w:line="480" w:lineRule="auto"/>
        <w:jc w:val="both"/>
        <w:rPr>
          <w:rFonts w:ascii="黑体" w:eastAsia="黑体" w:cs="黑体"/>
          <w:sz w:val="56"/>
          <w:szCs w:val="72"/>
        </w:rPr>
      </w:pPr>
    </w:p>
    <w:p>
      <w:pPr>
        <w:widowControl w:val="0"/>
        <w:shd w:val="clear" w:color="auto" w:fill="auto"/>
        <w:wordWrap/>
        <w:adjustRightInd/>
        <w:snapToGrid w:val="0"/>
        <w:jc w:val="center"/>
        <w:textAlignment w:val="auto"/>
        <w:rPr>
          <w:rFonts w:hint="eastAsia" w:ascii="楷体_GB2312" w:eastAsia="楷体_GB2312" w:cs="楷体_GB2312"/>
          <w:color w:val="auto"/>
          <w:kern w:val="0"/>
          <w:sz w:val="44"/>
          <w:szCs w:val="44"/>
          <w:highlight w:val="yellow"/>
          <w:lang w:val="en-US" w:eastAsia="zh-CN"/>
        </w:rPr>
      </w:pPr>
      <w:r>
        <w:rPr>
          <w:rFonts w:hint="eastAsia" w:ascii="楷体_GB2312" w:eastAsia="楷体_GB2312" w:cs="楷体_GB2312"/>
          <w:color w:val="auto"/>
          <w:kern w:val="0"/>
          <w:sz w:val="44"/>
          <w:szCs w:val="44"/>
          <w:highlight w:val="none"/>
          <w:shd w:val="clear" w:color="auto" w:fill="auto"/>
          <w:lang w:val="en-US" w:eastAsia="zh-CN"/>
        </w:rPr>
        <w:t>中国共产党石家庄市栾城区纪律检查委员会</w:t>
      </w:r>
    </w:p>
    <w:p>
      <w:pPr>
        <w:snapToGrid w:val="0"/>
        <w:jc w:val="center"/>
        <w:rPr>
          <w:rFonts w:hint="eastAsia" w:ascii="楷体_GB2312" w:eastAsia="楷体_GB2312" w:cs="楷体_GB2312"/>
          <w:color w:val="000000"/>
          <w:kern w:val="0"/>
          <w:sz w:val="40"/>
          <w:szCs w:val="40"/>
          <w14:shadow w14:blurRad="38100" w14:dist="19050" w14:dir="2700000" w14:sx="100000" w14:sy="100000" w14:algn="tl">
            <w14:srgbClr w14:val="000000">
              <w14:alpha w14:val="60000"/>
            </w14:srgbClr>
          </w14:shadow>
        </w:rPr>
      </w:pPr>
    </w:p>
    <w:p>
      <w:pPr>
        <w:snapToGrid w:val="0"/>
        <w:jc w:val="center"/>
        <w:rPr>
          <w:rFonts w:hint="eastAsia" w:ascii="楷体_GB2312" w:eastAsia="楷体_GB2312" w:cs="楷体_GB2312"/>
          <w:color w:val="000000"/>
          <w:kern w:val="0"/>
          <w:sz w:val="40"/>
          <w:szCs w:val="40"/>
          <w14:shadow w14:blurRad="38100" w14:dist="19050" w14:dir="2700000" w14:sx="100000" w14:sy="100000" w14:algn="tl">
            <w14:srgbClr w14:val="000000">
              <w14:alpha w14:val="60000"/>
            </w14:srgbClr>
          </w14:shadow>
        </w:rPr>
      </w:pPr>
    </w:p>
    <w:p>
      <w:pPr>
        <w:snapToGrid w:val="0"/>
        <w:jc w:val="center"/>
        <w:rPr>
          <w:rFonts w:ascii="楷体_GB2312" w:eastAsia="楷体_GB2312" w:cs="楷体_GB2312"/>
          <w:color w:val="000000"/>
          <w:kern w:val="0"/>
          <w:sz w:val="40"/>
          <w:szCs w:val="40"/>
          <w14:shadow w14:blurRad="38100" w14:dist="19050" w14:dir="2700000" w14:sx="100000" w14:sy="100000" w14:algn="tl">
            <w14:srgbClr w14:val="000000">
              <w14:alpha w14:val="60000"/>
            </w14:srgbClr>
          </w14:shadow>
        </w:rPr>
      </w:pPr>
      <w:r>
        <w:rPr>
          <w:rFonts w:hint="eastAsia" w:ascii="楷体_GB2312" w:eastAsia="楷体_GB2312" w:cs="楷体_GB2312"/>
          <w:color w:val="000000"/>
          <w:kern w:val="0"/>
          <w:sz w:val="40"/>
          <w:szCs w:val="40"/>
          <w14:shadow w14:blurRad="38100" w14:dist="19050" w14:dir="2700000" w14:sx="100000" w14:sy="100000" w14:algn="tl">
            <w14:srgbClr w14:val="000000">
              <w14:alpha w14:val="60000"/>
            </w14:srgbClr>
          </w14:shadow>
        </w:rPr>
        <w:t>二〇二一年八月</w:t>
      </w:r>
    </w:p>
    <w:p>
      <w:pPr>
        <w:snapToGrid w:val="0"/>
        <w:jc w:val="center"/>
        <w:rPr>
          <w:rFonts w:ascii="楷体_GB2312" w:eastAsia="楷体_GB2312" w:cs="楷体_GB2312"/>
          <w:color w:val="000000"/>
          <w:kern w:val="0"/>
          <w:sz w:val="40"/>
          <w:szCs w:val="40"/>
          <w14:shadow w14:blurRad="38100" w14:dist="19050" w14:dir="2700000" w14:sx="100000" w14:sy="100000" w14:algn="tl">
            <w14:srgbClr w14:val="000000">
              <w14:alpha w14:val="60000"/>
            </w14:srgbClr>
          </w14:shadow>
        </w:rPr>
      </w:pPr>
    </w:p>
    <w:p>
      <w:pPr>
        <w:jc w:val="center"/>
        <w:rPr>
          <w:rFonts w:hint="eastAsia" w:ascii="黑体" w:eastAsia="黑体" w:cs="黑体"/>
          <w:sz w:val="72"/>
          <w:szCs w:val="96"/>
          <w:lang w:val="en-US" w:eastAsia="zh-CN"/>
        </w:rPr>
      </w:pPr>
    </w:p>
    <w:p>
      <w:pPr>
        <w:jc w:val="center"/>
        <w:rPr>
          <w:rFonts w:hint="eastAsia" w:ascii="黑体" w:eastAsia="黑体" w:cs="黑体"/>
          <w:sz w:val="72"/>
          <w:szCs w:val="96"/>
          <w:lang w:val="en-US" w:eastAsia="zh-CN"/>
        </w:rPr>
      </w:pPr>
      <w:r>
        <w:rPr>
          <w:rFonts w:hint="eastAsia" w:ascii="黑体" w:eastAsia="黑体" w:cs="黑体"/>
          <w:sz w:val="72"/>
          <w:szCs w:val="96"/>
          <w:lang w:val="en-US" w:eastAsia="zh-CN"/>
        </w:rPr>
        <w:t>中国共产党石家庄市栾城区纪律检查委员会</w:t>
      </w:r>
    </w:p>
    <w:p>
      <w:pPr>
        <w:rPr>
          <w:rFonts w:ascii="黑体" w:eastAsia="黑体" w:cs="黑体"/>
          <w:sz w:val="72"/>
          <w:szCs w:val="96"/>
        </w:rPr>
      </w:pPr>
      <w:r>
        <w:rPr>
          <w:rFonts w:hint="eastAsia" w:ascii="黑体" w:eastAsia="黑体" w:cs="黑体"/>
          <w:sz w:val="72"/>
          <w:szCs w:val="96"/>
        </w:rPr>
        <w:t>2020年度部门决算公开文本</w:t>
      </w:r>
    </w:p>
    <w:p>
      <w:pPr>
        <w:spacing w:line="36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480" w:lineRule="auto"/>
        <w:jc w:val="center"/>
        <w:rPr>
          <w:rFonts w:ascii="黑体" w:eastAsia="黑体" w:cs="黑体"/>
          <w:sz w:val="56"/>
          <w:szCs w:val="72"/>
        </w:rPr>
      </w:pPr>
    </w:p>
    <w:p>
      <w:pPr>
        <w:spacing w:line="480" w:lineRule="auto"/>
        <w:jc w:val="both"/>
        <w:rPr>
          <w:rFonts w:ascii="黑体" w:eastAsia="黑体" w:cs="黑体"/>
          <w:sz w:val="56"/>
          <w:szCs w:val="72"/>
        </w:rPr>
      </w:pPr>
    </w:p>
    <w:p>
      <w:pPr>
        <w:snapToGrid w:val="0"/>
        <w:jc w:val="center"/>
        <w:rPr>
          <w:rFonts w:ascii="楷体_GB2312" w:eastAsia="楷体_GB2312" w:cs="楷体_GB2312"/>
          <w:color w:val="000000"/>
          <w:kern w:val="0"/>
          <w:sz w:val="40"/>
          <w:szCs w:val="40"/>
          <w14:shadow w14:blurRad="38100" w14:dist="19050" w14:dir="2700000" w14:sx="100000" w14:sy="100000" w14:algn="tl">
            <w14:srgbClr w14:val="000000">
              <w14:alpha w14:val="60000"/>
            </w14:srgbClr>
          </w14:shadow>
        </w:rPr>
      </w:pPr>
    </w:p>
    <w:p>
      <w:pPr>
        <w:snapToGrid w:val="0"/>
        <w:jc w:val="center"/>
        <w:rPr>
          <w:rFonts w:ascii="楷体_GB2312" w:eastAsia="楷体_GB2312" w:cs="楷体_GB2312"/>
          <w:color w:val="000000"/>
          <w:kern w:val="0"/>
          <w:sz w:val="40"/>
          <w:szCs w:val="40"/>
          <w14:shadow w14:blurRad="38100" w14:dist="19050" w14:dir="2700000" w14:sx="100000" w14:sy="100000" w14:algn="tl">
            <w14:srgbClr w14:val="000000">
              <w14:alpha w14:val="60000"/>
            </w14:srgbClr>
          </w14:shadow>
        </w:rPr>
      </w:pPr>
    </w:p>
    <w:p>
      <w:pPr>
        <w:snapToGrid w:val="0"/>
        <w:jc w:val="center"/>
        <w:rPr>
          <w:rFonts w:ascii="楷体_GB2312" w:eastAsia="楷体_GB2312" w:cs="楷体_GB2312"/>
          <w:color w:val="000000"/>
          <w:kern w:val="0"/>
          <w:sz w:val="40"/>
          <w:szCs w:val="40"/>
          <w14:shadow w14:blurRad="38100" w14:dist="19050" w14:dir="2700000" w14:sx="100000" w14:sy="100000" w14:algn="tl">
            <w14:srgbClr w14:val="000000">
              <w14:alpha w14:val="60000"/>
            </w14:srgbClr>
          </w14:shadow>
        </w:rPr>
      </w:pPr>
    </w:p>
    <w:p>
      <w:pPr>
        <w:snapToGrid w:val="0"/>
        <w:jc w:val="center"/>
        <w:rPr>
          <w:rFonts w:ascii="楷体_GB2312" w:eastAsia="楷体_GB2312" w:cs="楷体_GB2312"/>
          <w:color w:val="000000"/>
          <w:kern w:val="0"/>
          <w:sz w:val="40"/>
          <w:szCs w:val="40"/>
          <w14:shadow w14:blurRad="38100" w14:dist="19050" w14:dir="2700000" w14:sx="100000" w14:sy="100000" w14:algn="tl">
            <w14:srgbClr w14:val="000000">
              <w14:alpha w14:val="60000"/>
            </w14:srgbClr>
          </w14:shadow>
        </w:rPr>
        <w:sectPr>
          <w:pgSz w:w="11906" w:h="16838"/>
          <w:pgMar w:top="2098" w:right="1531" w:bottom="1984" w:left="1531" w:header="851" w:footer="992" w:gutter="0"/>
          <w:cols w:space="720" w:num="1"/>
          <w:titlePg/>
          <w:docGrid w:type="lines" w:linePitch="312" w:charSpace="0"/>
        </w:sectPr>
      </w:pPr>
      <w:r>
        <w:rPr>
          <w:rFonts w:hint="eastAsia" w:ascii="楷体_GB2312" w:eastAsia="楷体_GB2312" w:cs="楷体_GB2312"/>
          <w:color w:val="000000"/>
          <w:kern w:val="0"/>
          <w:sz w:val="40"/>
          <w:szCs w:val="40"/>
          <w14:shadow w14:blurRad="38100" w14:dist="19050" w14:dir="2700000" w14:sx="100000" w14:sy="100000" w14:algn="tl">
            <w14:srgbClr w14:val="000000">
              <w14:alpha w14:val="60000"/>
            </w14:srgbClr>
          </w14:shadow>
        </w:rPr>
        <w:t>二</w:t>
      </w:r>
      <w:r>
        <w:rPr>
          <w:rFonts w:ascii="楷体_GB2312" w:eastAsia="楷体_GB2312" w:cs="楷体_GB2312"/>
          <w:color w:val="000000"/>
          <w:kern w:val="0"/>
          <w:sz w:val="40"/>
          <w:szCs w:val="40"/>
          <w14:shadow w14:blurRad="38100" w14:dist="19050" w14:dir="2700000" w14:sx="100000" w14:sy="100000" w14:algn="tl">
            <w14:srgbClr w14:val="000000">
              <w14:alpha w14:val="60000"/>
            </w14:srgbClr>
          </w14:shadow>
        </w:rPr>
        <w:t>零</w:t>
      </w:r>
      <w:r>
        <w:rPr>
          <w:rFonts w:hint="eastAsia" w:ascii="楷体_GB2312" w:eastAsia="楷体_GB2312" w:cs="楷体_GB2312"/>
          <w:color w:val="000000"/>
          <w:kern w:val="0"/>
          <w:sz w:val="40"/>
          <w:szCs w:val="40"/>
          <w14:shadow w14:blurRad="38100" w14:dist="19050" w14:dir="2700000" w14:sx="100000" w14:sy="100000" w14:algn="tl">
            <w14:srgbClr w14:val="000000">
              <w14:alpha w14:val="60000"/>
            </w14:srgbClr>
          </w14:shadow>
        </w:rPr>
        <w:t>二一年八月</w:t>
      </w:r>
    </w:p>
    <w:p>
      <w:pPr>
        <w:jc w:val="center"/>
        <w:rPr>
          <w:rFonts w:ascii="黑体" w:eastAsia="黑体" w:cs="Times New Roman"/>
          <w:sz w:val="48"/>
          <w:szCs w:val="48"/>
        </w:rPr>
      </w:pPr>
      <w:r>
        <w:rPr>
          <w:rFonts w:hint="eastAsia" w:ascii="黑体"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keepNext w:val="0"/>
        <w:keepLines w:val="0"/>
        <w:pageBreakBefore w:val="0"/>
        <w:widowControl/>
        <w:kinsoku/>
        <w:wordWrap/>
        <w:overflowPunct/>
        <w:topLinePunct w:val="0"/>
        <w:autoSpaceDE/>
        <w:autoSpaceDN/>
        <w:bidi w:val="0"/>
        <w:adjustRightInd/>
        <w:snapToGrid/>
        <w:spacing w:line="640" w:lineRule="exact"/>
        <w:ind w:firstLine="1273" w:firstLineChars="398"/>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keepNext w:val="0"/>
        <w:keepLines w:val="0"/>
        <w:pageBreakBefore w:val="0"/>
        <w:widowControl/>
        <w:kinsoku/>
        <w:wordWrap/>
        <w:overflowPunct/>
        <w:topLinePunct w:val="0"/>
        <w:autoSpaceDE/>
        <w:autoSpaceDN/>
        <w:bidi w:val="0"/>
        <w:adjustRightInd/>
        <w:snapToGrid/>
        <w:spacing w:line="640" w:lineRule="exact"/>
        <w:ind w:firstLine="1273" w:firstLineChars="398"/>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keepNext w:val="0"/>
        <w:keepLines w:val="0"/>
        <w:pageBreakBefore w:val="0"/>
        <w:widowControl/>
        <w:kinsoku/>
        <w:wordWrap/>
        <w:overflowPunct/>
        <w:topLinePunct w:val="0"/>
        <w:autoSpaceDE/>
        <w:autoSpaceDN/>
        <w:bidi w:val="0"/>
        <w:adjustRightInd/>
        <w:snapToGrid/>
        <w:spacing w:line="640" w:lineRule="exact"/>
        <w:ind w:left="630"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left="630"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640" w:lineRule="exact"/>
        <w:ind w:left="630"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640" w:lineRule="exact"/>
        <w:ind w:left="630"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left="630"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keepNext w:val="0"/>
        <w:keepLines w:val="0"/>
        <w:pageBreakBefore w:val="0"/>
        <w:widowControl/>
        <w:kinsoku/>
        <w:wordWrap/>
        <w:overflowPunct/>
        <w:topLinePunct w:val="0"/>
        <w:autoSpaceDE/>
        <w:autoSpaceDN/>
        <w:bidi w:val="0"/>
        <w:adjustRightInd/>
        <w:snapToGrid/>
        <w:spacing w:line="640" w:lineRule="exact"/>
        <w:ind w:left="630"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keepNext w:val="0"/>
        <w:keepLines w:val="0"/>
        <w:pageBreakBefore w:val="0"/>
        <w:widowControl/>
        <w:kinsoku/>
        <w:wordWrap/>
        <w:overflowPunct/>
        <w:topLinePunct w:val="0"/>
        <w:autoSpaceDE/>
        <w:autoSpaceDN/>
        <w:bidi w:val="0"/>
        <w:adjustRightInd/>
        <w:snapToGrid/>
        <w:spacing w:line="640" w:lineRule="exact"/>
        <w:ind w:left="630"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keepNext w:val="0"/>
        <w:keepLines w:val="0"/>
        <w:pageBreakBefore w:val="0"/>
        <w:widowControl/>
        <w:kinsoku/>
        <w:wordWrap/>
        <w:overflowPunct/>
        <w:topLinePunct w:val="0"/>
        <w:autoSpaceDE/>
        <w:autoSpaceDN/>
        <w:bidi w:val="0"/>
        <w:adjustRightInd/>
        <w:snapToGrid/>
        <w:spacing w:line="640" w:lineRule="exact"/>
        <w:ind w:left="630"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keepNext w:val="0"/>
        <w:keepLines w:val="0"/>
        <w:pageBreakBefore w:val="0"/>
        <w:widowControl/>
        <w:kinsoku/>
        <w:wordWrap/>
        <w:overflowPunct/>
        <w:topLinePunct w:val="0"/>
        <w:autoSpaceDE/>
        <w:autoSpaceDN/>
        <w:bidi w:val="0"/>
        <w:adjustRightInd/>
        <w:snapToGrid/>
        <w:spacing w:line="640" w:lineRule="exact"/>
        <w:ind w:left="630"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keepNext w:val="0"/>
        <w:keepLines w:val="0"/>
        <w:pageBreakBefore w:val="0"/>
        <w:widowControl/>
        <w:kinsoku/>
        <w:wordWrap/>
        <w:overflowPunct/>
        <w:topLinePunct w:val="0"/>
        <w:autoSpaceDE/>
        <w:autoSpaceDN/>
        <w:bidi w:val="0"/>
        <w:adjustRightInd/>
        <w:snapToGrid/>
        <w:spacing w:line="640" w:lineRule="exact"/>
        <w:ind w:left="630"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type w:val="continuous"/>
          <w:pgSz w:w="11906" w:h="16838"/>
          <w:pgMar w:top="2098" w:right="1531" w:bottom="1984" w:left="1531" w:header="851" w:footer="992" w:gutter="0"/>
          <w:cols w:space="72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3665" distR="113665" simplePos="0" relativeHeight="251659264" behindDoc="0" locked="0" layoutInCell="1" allowOverlap="1">
                <wp:simplePos x="0" y="0"/>
                <wp:positionH relativeFrom="column">
                  <wp:posOffset>-1088390</wp:posOffset>
                </wp:positionH>
                <wp:positionV relativeFrom="paragraph">
                  <wp:posOffset>1024255</wp:posOffset>
                </wp:positionV>
                <wp:extent cx="7793355" cy="3341370"/>
                <wp:effectExtent l="0" t="0" r="0" b="0"/>
                <wp:wrapNone/>
                <wp:docPr id="4" name="文本框 143"/>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7F7F7F"/>
                          </a:fgClr>
                          <a:bgClr>
                            <a:srgbClr val="FFFFFF"/>
                          </a:bgClr>
                        </a:pattFill>
                        <a:ln w="12700" cap="flat" cmpd="sng">
                          <a:solidFill>
                            <a:srgbClr val="A6A6A6"/>
                          </a:solidFill>
                          <a:prstDash val="solid"/>
                          <a:round/>
                        </a:ln>
                      </wps:spPr>
                      <wps:txbx>
                        <w:txbxContent>
                          <w:p>
                            <w:pPr>
                              <w:widowControl/>
                              <w:jc w:val="center"/>
                              <w:rPr>
                                <w:rFonts w:ascii="黑体" w:eastAsia="黑体" w:cs="黑体"/>
                                <w:color w:val="000000"/>
                                <w:sz w:val="96"/>
                                <w:szCs w:val="96"/>
                                <w14:shadow w14:blurRad="38100" w14:dist="22860" w14:dir="5400000" w14:sx="100000" w14:sy="100000" w14:algn="tl">
                                  <w14:srgbClr w14:val="000000">
                                    <w14:alpha w14:val="70000"/>
                                  </w14:srgbClr>
                                </w14:shadow>
                              </w:rPr>
                            </w:pPr>
                            <w:r>
                              <w:rPr>
                                <w:rFonts w:hint="eastAsia" w:ascii="黑体" w:eastAsia="黑体" w:cs="黑体"/>
                                <w:color w:val="000000"/>
                                <w:sz w:val="96"/>
                                <w:szCs w:val="96"/>
                                <w14:shadow w14:blurRad="38100" w14:dist="22860" w14:dir="5400000" w14:sx="100000" w14:sy="100000" w14:algn="tl">
                                  <w14:srgbClr w14:val="000000">
                                    <w14:alpha w14:val="70000"/>
                                  </w14:srgbClr>
                                </w14:shadow>
                              </w:rPr>
                              <w:t>第一部分  部门概况</w:t>
                            </w:r>
                          </w:p>
                        </w:txbxContent>
                      </wps:txbx>
                      <wps:bodyPr vert="horz" wrap="square" lIns="91440" tIns="45720" rIns="91440" bIns="45720" anchor="ctr" anchorCtr="0" upright="0">
                        <a:noAutofit/>
                      </wps:bodyPr>
                    </wps:wsp>
                  </a:graphicData>
                </a:graphic>
              </wp:anchor>
            </w:drawing>
          </mc:Choice>
          <mc:Fallback>
            <w:pict>
              <v:rect id="文本框 143" o:spid="_x0000_s1026" o:spt="1" style="position:absolute;left:0pt;margin-left:-85.7pt;margin-top:80.65pt;height:263.1pt;width:613.65pt;z-index:251659264;v-text-anchor:middle;mso-width-relative:page;mso-height-relative:page;" fillcolor="#7F7F7F" filled="t" stroked="t" coordsize="21600,21600" o:gfxdata="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OdN9dkAAAANAQAADwAA&#10;AAAAAAABACAAAAAiAAAAZHJzL2Rvd25yZXYueG1sUEsBAhQAFAAAAAgAh07iQIrjGntOAgAAqAQA&#10;AA4AAAAAAAAAAQAgAAAAKAEAAGRycy9lMm9Eb2MueG1sUEsFBgAAAAAGAAYAWQEAAOgFAAAAAA==&#10;">
                <v:fill type="pattern" on="t" color2="#FFFFFF" o:title="5%" focussize="0,0" r:id="rId11"/>
                <v:stroke weight="1pt" color="#A6A6A6" joinstyle="round"/>
                <v:imagedata o:title=""/>
                <o:lock v:ext="edit" aspectratio="f"/>
                <v:textbox>
                  <w:txbxContent>
                    <w:p>
                      <w:pPr>
                        <w:widowControl/>
                        <w:jc w:val="center"/>
                        <w:rPr>
                          <w:rFonts w:ascii="黑体" w:eastAsia="黑体" w:cs="黑体"/>
                          <w:color w:val="000000"/>
                          <w:sz w:val="96"/>
                          <w:szCs w:val="96"/>
                          <w14:shadow w14:blurRad="38100" w14:dist="22860" w14:dir="5400000" w14:sx="100000" w14:sy="100000" w14:algn="tl">
                            <w14:srgbClr w14:val="000000">
                              <w14:alpha w14:val="70000"/>
                            </w14:srgbClr>
                          </w14:shadow>
                        </w:rPr>
                      </w:pPr>
                      <w:r>
                        <w:rPr>
                          <w:rFonts w:hint="eastAsia" w:ascii="黑体" w:eastAsia="黑体" w:cs="黑体"/>
                          <w:color w:val="000000"/>
                          <w:sz w:val="96"/>
                          <w:szCs w:val="96"/>
                          <w14:shadow w14:blurRad="38100" w14:dist="22860" w14:dir="5400000" w14:sx="100000" w14:sy="100000" w14:algn="tl">
                            <w14:srgbClr w14:val="000000">
                              <w14:alpha w14:val="70000"/>
                            </w14:srgbClr>
                          </w14:shadow>
                        </w:rPr>
                        <w:t>第一部分  部门概况</w:t>
                      </w:r>
                    </w:p>
                  </w:txbxContent>
                </v:textbox>
              </v:rect>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00" w:lineRule="exact"/>
        <w:ind w:firstLine="560" w:firstLineChars="200"/>
        <w:jc w:val="left"/>
        <w:rPr>
          <w:rFonts w:hint="eastAsia"/>
          <w:sz w:val="28"/>
        </w:rPr>
      </w:pPr>
      <w:r>
        <w:rPr>
          <w:rFonts w:hint="eastAsia" w:eastAsia="方正仿宋_GBK"/>
          <w:sz w:val="28"/>
        </w:rPr>
        <w:t>根据《中共栾城区纪律检查委员会职能配置、内设机构和人员编制规定》， 中共栾城区纪律检查委员会的主要职责是：</w:t>
      </w:r>
    </w:p>
    <w:p>
      <w:pPr>
        <w:spacing w:line="500" w:lineRule="exact"/>
        <w:ind w:firstLine="560" w:firstLineChars="200"/>
        <w:jc w:val="left"/>
        <w:rPr>
          <w:rFonts w:eastAsia="方正仿宋_GBK"/>
          <w:sz w:val="28"/>
        </w:rPr>
      </w:pPr>
      <w:r>
        <w:rPr>
          <w:rFonts w:eastAsia="方正仿宋_GBK"/>
          <w:sz w:val="28"/>
        </w:rPr>
        <w:t>负责全区党的纪律检查工作，协助区委推进全面从严治党、加强党风建设和组织协调反腐败工作。</w:t>
      </w:r>
    </w:p>
    <w:p>
      <w:pPr>
        <w:spacing w:line="500" w:lineRule="exact"/>
        <w:ind w:firstLine="560" w:firstLineChars="200"/>
        <w:jc w:val="left"/>
        <w:rPr>
          <w:rFonts w:eastAsia="方正仿宋_GBK"/>
          <w:sz w:val="28"/>
        </w:rPr>
      </w:pPr>
      <w:r>
        <w:rPr>
          <w:rFonts w:eastAsia="方正仿宋_GBK"/>
          <w:sz w:val="28"/>
        </w:rPr>
        <w:t>依照党的章程和其他党内法规履行监督、执纪、问责职责；检查和处理党的组织和党员违反党的章程和其他党内法规的案件。</w:t>
      </w:r>
    </w:p>
    <w:p>
      <w:pPr>
        <w:spacing w:line="500" w:lineRule="exact"/>
        <w:ind w:firstLine="560" w:firstLineChars="200"/>
        <w:jc w:val="left"/>
        <w:rPr>
          <w:rFonts w:eastAsia="方正仿宋_GBK"/>
          <w:sz w:val="28"/>
        </w:rPr>
      </w:pPr>
      <w:r>
        <w:rPr>
          <w:rFonts w:eastAsia="方正仿宋_GBK"/>
          <w:sz w:val="28"/>
        </w:rPr>
        <w:t>支持配合巡视、巡察工作。依规依纪依法处置巡视、巡察移交的反映领导干部问题线索。</w:t>
      </w:r>
    </w:p>
    <w:p>
      <w:pPr>
        <w:spacing w:line="500" w:lineRule="exact"/>
        <w:ind w:firstLine="560" w:firstLineChars="200"/>
        <w:jc w:val="left"/>
        <w:rPr>
          <w:rFonts w:eastAsia="方正仿宋_GBK"/>
          <w:sz w:val="28"/>
        </w:rPr>
      </w:pPr>
      <w:r>
        <w:rPr>
          <w:rFonts w:eastAsia="方正仿宋_GBK"/>
          <w:sz w:val="28"/>
        </w:rPr>
        <w:t>负责全区监察工作。依法对全区行使公权力的公职人员进行监察，调查职务违法和职务犯罪，开展廉政建设和反腐败工作。</w:t>
      </w:r>
    </w:p>
    <w:p>
      <w:pPr>
        <w:spacing w:line="500" w:lineRule="exact"/>
        <w:ind w:firstLine="560" w:firstLineChars="200"/>
        <w:jc w:val="left"/>
        <w:rPr>
          <w:rFonts w:eastAsia="方正仿宋_GBK"/>
          <w:sz w:val="28"/>
        </w:rPr>
      </w:pPr>
      <w:r>
        <w:rPr>
          <w:rFonts w:eastAsia="方正仿宋_GBK"/>
          <w:sz w:val="28"/>
        </w:rPr>
        <w:t>依照法律规定履行监督、调查、处置职责。对全区行使公权力的公职人员依法履职、秉公用权、廉洁从政从业以及道德操守情况进行监督检查。</w:t>
      </w:r>
    </w:p>
    <w:p>
      <w:pPr>
        <w:spacing w:line="500" w:lineRule="exact"/>
        <w:ind w:firstLine="560" w:firstLineChars="200"/>
        <w:jc w:val="left"/>
        <w:rPr>
          <w:rFonts w:eastAsia="方正仿宋_GBK"/>
          <w:sz w:val="28"/>
        </w:rPr>
      </w:pPr>
      <w:r>
        <w:rPr>
          <w:rFonts w:eastAsia="方正仿宋_GBK"/>
          <w:sz w:val="28"/>
        </w:rPr>
        <w:t>负责组织协调全面从严治党、党风廉政建设和反腐败宣传教育工作。</w:t>
      </w:r>
    </w:p>
    <w:p>
      <w:pPr>
        <w:spacing w:line="500" w:lineRule="exact"/>
        <w:ind w:firstLine="560" w:firstLineChars="200"/>
        <w:jc w:val="left"/>
        <w:rPr>
          <w:rFonts w:eastAsia="方正仿宋_GBK"/>
          <w:sz w:val="28"/>
        </w:rPr>
      </w:pPr>
      <w:r>
        <w:rPr>
          <w:rFonts w:eastAsia="方正仿宋_GBK"/>
          <w:sz w:val="28"/>
        </w:rPr>
        <w:t>负责综合分析全面从严治党、党风廉政建设和反腐败工作情况。</w:t>
      </w:r>
    </w:p>
    <w:p>
      <w:pPr>
        <w:spacing w:line="500" w:lineRule="exact"/>
        <w:ind w:firstLine="560" w:firstLineChars="200"/>
        <w:jc w:val="left"/>
        <w:rPr>
          <w:rFonts w:eastAsia="方正仿宋_GBK"/>
          <w:sz w:val="28"/>
        </w:rPr>
      </w:pPr>
      <w:r>
        <w:rPr>
          <w:rFonts w:eastAsia="方正仿宋_GBK"/>
          <w:sz w:val="28"/>
        </w:rPr>
        <w:t>负责组织协调全区反腐败追逃追赃和防逃工作。</w:t>
      </w:r>
    </w:p>
    <w:p>
      <w:pPr>
        <w:spacing w:line="500" w:lineRule="exact"/>
        <w:ind w:firstLine="560" w:firstLineChars="200"/>
        <w:jc w:val="left"/>
        <w:rPr>
          <w:rFonts w:eastAsia="方正仿宋_GBK"/>
          <w:sz w:val="28"/>
        </w:rPr>
      </w:pPr>
      <w:r>
        <w:rPr>
          <w:rFonts w:eastAsia="方正仿宋_GBK"/>
          <w:sz w:val="28"/>
        </w:rPr>
        <w:t>负责全区纪检监察系统领导班子建设、干部队伍建设和组织建设的综合规划、政策研究、制度建设和业务指导。</w:t>
      </w:r>
    </w:p>
    <w:p>
      <w:pPr>
        <w:spacing w:line="500" w:lineRule="exact"/>
        <w:ind w:firstLine="560" w:firstLineChars="200"/>
        <w:jc w:val="left"/>
        <w:rPr>
          <w:rFonts w:eastAsia="方正仿宋_GBK"/>
          <w:sz w:val="28"/>
        </w:rPr>
      </w:pPr>
      <w:r>
        <w:rPr>
          <w:rFonts w:eastAsia="方正仿宋_GBK"/>
          <w:sz w:val="28"/>
        </w:rPr>
        <w:t>完成市纪委监委、区委交办的其他任务。</w:t>
      </w:r>
    </w:p>
    <w:p>
      <w:pPr>
        <w:keepNext/>
        <w:keepLines/>
        <w:widowControl w:val="0"/>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从决算编报单位构成看，纳入20</w:t>
      </w:r>
      <w:r>
        <w:rPr>
          <w:rFonts w:ascii="仿宋_GB2312" w:eastAsia="仿宋_GB2312" w:cs="Arial Black"/>
          <w:kern w:val="0"/>
          <w:sz w:val="32"/>
          <w:szCs w:val="32"/>
        </w:rPr>
        <w:t>20</w:t>
      </w:r>
      <w:r>
        <w:rPr>
          <w:rFonts w:hint="eastAsia" w:ascii="仿宋_GB2312" w:eastAsia="仿宋_GB2312" w:cs="Arial Black"/>
          <w:kern w:val="0"/>
          <w:sz w:val="32"/>
          <w:szCs w:val="32"/>
        </w:rPr>
        <w:t xml:space="preserve">年度本部门决算汇编范围的独立核算单位（以下简称“单位”）共 </w:t>
      </w:r>
      <w:r>
        <w:rPr>
          <w:rFonts w:hint="eastAsia" w:ascii="仿宋_GB2312" w:eastAsia="仿宋_GB2312" w:cs="Arial Black"/>
          <w:kern w:val="0"/>
          <w:sz w:val="32"/>
          <w:szCs w:val="32"/>
          <w:lang w:val="en-US" w:eastAsia="zh-CN"/>
        </w:rPr>
        <w:t>3</w:t>
      </w:r>
      <w:r>
        <w:rPr>
          <w:rFonts w:hint="eastAsia" w:ascii="仿宋_GB2312" w:eastAsia="仿宋_GB2312" w:cs="Arial Black"/>
          <w:kern w:val="0"/>
          <w:sz w:val="32"/>
          <w:szCs w:val="32"/>
        </w:rPr>
        <w:t>个，具体情况如下：</w:t>
      </w:r>
    </w:p>
    <w:tbl>
      <w:tblPr>
        <w:tblStyle w:val="7"/>
        <w:tblpPr w:leftFromText="180" w:rightFromText="180" w:vertAnchor="text" w:horzAnchor="page" w:tblpXSpec="center" w:tblpY="10"/>
        <w:tblOverlap w:val="never"/>
        <w:tblW w:w="942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3426"/>
        <w:gridCol w:w="2404"/>
        <w:gridCol w:w="262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96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cs="Arial Black"/>
                <w:b/>
                <w:bCs/>
                <w:kern w:val="0"/>
                <w:sz w:val="28"/>
                <w:szCs w:val="28"/>
              </w:rPr>
            </w:pPr>
            <w:r>
              <w:rPr>
                <w:rFonts w:hint="eastAsia" w:ascii="仿宋_GB2312" w:eastAsia="仿宋_GB2312" w:cs="Arial Black"/>
                <w:b/>
                <w:bCs/>
                <w:kern w:val="0"/>
                <w:sz w:val="28"/>
                <w:szCs w:val="28"/>
              </w:rPr>
              <w:t>序号</w:t>
            </w:r>
          </w:p>
        </w:tc>
        <w:tc>
          <w:tcPr>
            <w:tcW w:w="342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cs="Arial Black"/>
                <w:b/>
                <w:bCs/>
                <w:kern w:val="0"/>
                <w:sz w:val="28"/>
                <w:szCs w:val="28"/>
              </w:rPr>
            </w:pPr>
            <w:r>
              <w:rPr>
                <w:rFonts w:hint="eastAsia" w:ascii="仿宋_GB2312" w:eastAsia="仿宋_GB2312" w:cs="Arial Black"/>
                <w:b/>
                <w:bCs/>
                <w:kern w:val="0"/>
                <w:sz w:val="28"/>
                <w:szCs w:val="28"/>
              </w:rPr>
              <w:t>单位名称</w:t>
            </w:r>
          </w:p>
        </w:tc>
        <w:tc>
          <w:tcPr>
            <w:tcW w:w="2404"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cs="Arial Black"/>
                <w:b/>
                <w:bCs/>
                <w:kern w:val="0"/>
                <w:sz w:val="28"/>
                <w:szCs w:val="28"/>
              </w:rPr>
            </w:pPr>
            <w:r>
              <w:rPr>
                <w:rFonts w:hint="eastAsia" w:ascii="仿宋_GB2312" w:eastAsia="仿宋_GB2312" w:cs="Arial Black"/>
                <w:b/>
                <w:bCs/>
                <w:kern w:val="0"/>
                <w:sz w:val="28"/>
                <w:szCs w:val="28"/>
              </w:rPr>
              <w:t>单位基本性质</w:t>
            </w:r>
          </w:p>
        </w:tc>
        <w:tc>
          <w:tcPr>
            <w:tcW w:w="2622"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cs="Arial Black"/>
                <w:b/>
                <w:bCs/>
                <w:kern w:val="0"/>
                <w:sz w:val="28"/>
                <w:szCs w:val="28"/>
              </w:rPr>
            </w:pPr>
            <w:r>
              <w:rPr>
                <w:rFonts w:hint="eastAsia" w:ascii="仿宋_GB2312"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968"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仿宋_GB2312" w:eastAsia="仿宋_GB2312" w:cs="Arial Black"/>
                <w:kern w:val="0"/>
                <w:sz w:val="28"/>
                <w:szCs w:val="28"/>
              </w:rPr>
            </w:pPr>
            <w:r>
              <w:rPr>
                <w:rFonts w:hint="eastAsia" w:ascii="仿宋_GB2312" w:eastAsia="仿宋_GB2312" w:cs="Arial Black"/>
                <w:kern w:val="0"/>
                <w:sz w:val="28"/>
                <w:szCs w:val="28"/>
              </w:rPr>
              <w:t>1</w:t>
            </w:r>
          </w:p>
        </w:tc>
        <w:tc>
          <w:tcPr>
            <w:tcW w:w="3426" w:type="dxa"/>
            <w:tcBorders>
              <w:top w:val="single" w:color="auto" w:sz="4" w:space="0"/>
              <w:left w:val="single" w:color="auto" w:sz="4" w:space="0"/>
              <w:bottom w:val="single" w:color="auto" w:sz="4" w:space="0"/>
              <w:right w:val="single" w:color="auto" w:sz="4" w:space="0"/>
            </w:tcBorders>
            <w:noWrap/>
          </w:tcPr>
          <w:p>
            <w:pPr>
              <w:spacing w:line="560" w:lineRule="exact"/>
              <w:rPr>
                <w:rFonts w:ascii="仿宋_GB2312" w:eastAsia="仿宋_GB2312" w:cs="Arial Black"/>
                <w:kern w:val="0"/>
                <w:sz w:val="28"/>
                <w:szCs w:val="28"/>
              </w:rPr>
            </w:pPr>
            <w:r>
              <w:rPr>
                <w:rFonts w:hint="eastAsia" w:ascii="方正书宋_GBK" w:eastAsia="方正书宋_GBK"/>
                <w:sz w:val="18"/>
                <w:szCs w:val="20"/>
              </w:rPr>
              <w:t>中共</w:t>
            </w:r>
            <w:r>
              <w:rPr>
                <w:rFonts w:hint="eastAsia" w:ascii="方正书宋_GBK" w:eastAsia="方正书宋_GBK"/>
                <w:sz w:val="18"/>
                <w:szCs w:val="20"/>
                <w:lang w:eastAsia="zh-CN"/>
              </w:rPr>
              <w:t>石家庄市</w:t>
            </w:r>
            <w:r>
              <w:rPr>
                <w:rFonts w:hint="eastAsia" w:ascii="方正书宋_GBK" w:eastAsia="方正书宋_GBK"/>
                <w:sz w:val="18"/>
                <w:szCs w:val="20"/>
              </w:rPr>
              <w:t>栾城区纪律检查委员会机关</w:t>
            </w:r>
            <w:r>
              <w:rPr>
                <w:rFonts w:hint="eastAsia" w:ascii="仿宋_GB2312" w:eastAsia="仿宋_GB2312" w:cs="Arial Black"/>
                <w:kern w:val="0"/>
                <w:sz w:val="28"/>
                <w:szCs w:val="28"/>
              </w:rPr>
              <w:t>(本级)</w:t>
            </w:r>
          </w:p>
        </w:tc>
        <w:tc>
          <w:tcPr>
            <w:tcW w:w="240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spacing w:after="0" w:line="560" w:lineRule="exact"/>
              <w:jc w:val="center"/>
              <w:textAlignment w:val="auto"/>
              <w:rPr>
                <w:rFonts w:hint="eastAsia" w:ascii="仿宋" w:eastAsia="仿宋" w:cs="黑体"/>
                <w:kern w:val="2"/>
                <w:sz w:val="24"/>
                <w:szCs w:val="22"/>
                <w:lang w:val="en-US" w:eastAsia="zh-CN" w:bidi="ar-SA"/>
              </w:rPr>
            </w:pPr>
            <w:r>
              <w:rPr>
                <w:rFonts w:hint="eastAsia" w:ascii="仿宋" w:eastAsia="仿宋"/>
                <w:sz w:val="24"/>
              </w:rPr>
              <w:t>行政</w:t>
            </w:r>
            <w:r>
              <w:rPr>
                <w:rFonts w:hint="eastAsia" w:ascii="仿宋" w:eastAsia="仿宋"/>
                <w:sz w:val="24"/>
                <w:lang w:eastAsia="zh-CN"/>
              </w:rPr>
              <w:t>单位</w:t>
            </w:r>
          </w:p>
        </w:tc>
        <w:tc>
          <w:tcPr>
            <w:tcW w:w="2622"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spacing w:after="0" w:line="560" w:lineRule="exact"/>
              <w:jc w:val="left"/>
              <w:textAlignment w:val="auto"/>
              <w:rPr>
                <w:rFonts w:hint="eastAsia" w:ascii="仿宋_GB2312" w:eastAsia="仿宋_GB2312" w:cs="ArialUnicodeMS"/>
                <w:kern w:val="0"/>
                <w:sz w:val="28"/>
                <w:szCs w:val="28"/>
                <w:lang w:val="en-US" w:eastAsia="zh-CN" w:bidi="ar-SA"/>
              </w:rPr>
            </w:pPr>
            <w:r>
              <w:rPr>
                <w:rFonts w:hint="eastAsia" w:ascii="仿宋" w:eastAsia="仿宋"/>
                <w:sz w:val="24"/>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68"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仿宋_GB2312" w:eastAsia="仿宋_GB2312" w:cs="Arial Black"/>
                <w:kern w:val="0"/>
                <w:sz w:val="28"/>
                <w:szCs w:val="28"/>
              </w:rPr>
            </w:pPr>
            <w:r>
              <w:rPr>
                <w:rFonts w:hint="eastAsia" w:ascii="仿宋_GB2312" w:eastAsia="仿宋_GB2312" w:cs="Arial Black"/>
                <w:kern w:val="0"/>
                <w:sz w:val="28"/>
                <w:szCs w:val="28"/>
              </w:rPr>
              <w:t>2</w:t>
            </w:r>
          </w:p>
        </w:tc>
        <w:tc>
          <w:tcPr>
            <w:tcW w:w="3426" w:type="dxa"/>
            <w:tcBorders>
              <w:top w:val="single" w:color="auto" w:sz="4" w:space="0"/>
              <w:left w:val="single" w:color="auto" w:sz="4" w:space="0"/>
              <w:bottom w:val="single" w:color="auto" w:sz="4" w:space="0"/>
              <w:right w:val="single" w:color="auto" w:sz="4" w:space="0"/>
            </w:tcBorders>
            <w:noWrap/>
          </w:tcPr>
          <w:p>
            <w:pPr>
              <w:spacing w:line="560" w:lineRule="exact"/>
              <w:rPr>
                <w:rFonts w:ascii="仿宋_GB2312" w:eastAsia="仿宋_GB2312" w:cs="Arial Black"/>
                <w:kern w:val="0"/>
                <w:sz w:val="28"/>
                <w:szCs w:val="28"/>
              </w:rPr>
            </w:pPr>
            <w:r>
              <w:rPr>
                <w:rFonts w:hint="eastAsia" w:ascii="方正书宋_GBK" w:eastAsia="方正书宋_GBK"/>
                <w:lang w:eastAsia="zh-CN"/>
              </w:rPr>
              <w:t>石家庄市</w:t>
            </w:r>
            <w:r>
              <w:rPr>
                <w:rFonts w:hint="eastAsia" w:ascii="方正书宋_GBK" w:eastAsia="方正书宋_GBK"/>
              </w:rPr>
              <w:t>栾城区</w:t>
            </w:r>
            <w:r>
              <w:rPr>
                <w:rFonts w:hint="eastAsia" w:ascii="方正书宋_GBK" w:eastAsia="方正书宋_GBK"/>
                <w:lang w:eastAsia="zh-CN"/>
              </w:rPr>
              <w:t>廉政宣教中心</w:t>
            </w:r>
          </w:p>
        </w:tc>
        <w:tc>
          <w:tcPr>
            <w:tcW w:w="240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bidi w:val="0"/>
              <w:spacing w:after="0" w:line="560" w:lineRule="exact"/>
              <w:jc w:val="center"/>
              <w:textAlignment w:val="auto"/>
              <w:rPr>
                <w:rFonts w:hint="eastAsia" w:ascii="仿宋" w:eastAsia="仿宋" w:cs="黑体"/>
                <w:kern w:val="2"/>
                <w:sz w:val="24"/>
                <w:szCs w:val="22"/>
                <w:lang w:val="en-US" w:eastAsia="zh-CN" w:bidi="ar-SA"/>
              </w:rPr>
            </w:pPr>
            <w:r>
              <w:rPr>
                <w:rFonts w:hint="eastAsia" w:ascii="仿宋_GB2312" w:eastAsia="仿宋_GB2312" w:cs="Arial Black"/>
                <w:kern w:val="0"/>
                <w:sz w:val="24"/>
                <w:szCs w:val="24"/>
              </w:rPr>
              <w:t>财政补助事业单位</w:t>
            </w:r>
          </w:p>
        </w:tc>
        <w:tc>
          <w:tcPr>
            <w:tcW w:w="2622" w:type="dxa"/>
            <w:tcBorders>
              <w:top w:val="single" w:color="auto" w:sz="4" w:space="0"/>
              <w:left w:val="single" w:color="auto" w:sz="4" w:space="0"/>
              <w:bottom w:val="single" w:color="auto" w:sz="4" w:space="0"/>
              <w:right w:val="single" w:color="auto" w:sz="4" w:space="0"/>
            </w:tcBorders>
            <w:noWrap/>
          </w:tcPr>
          <w:p>
            <w:pPr>
              <w:spacing w:after="0" w:line="560" w:lineRule="exact"/>
              <w:jc w:val="both"/>
              <w:rPr>
                <w:rFonts w:hint="eastAsia" w:ascii="仿宋_GB2312" w:eastAsia="仿宋_GB2312" w:cs="ArialUnicodeMS"/>
                <w:kern w:val="0"/>
                <w:sz w:val="28"/>
                <w:szCs w:val="28"/>
                <w:lang w:val="en-US" w:eastAsia="zh-CN" w:bidi="ar-SA"/>
              </w:rPr>
            </w:pPr>
            <w:r>
              <w:rPr>
                <w:rFonts w:hint="eastAsia" w:ascii="仿宋" w:eastAsia="仿宋"/>
                <w:sz w:val="21"/>
                <w:szCs w:val="20"/>
              </w:rPr>
              <w:t>财政性资金基本保证</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968"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仿宋_GB2312" w:eastAsia="仿宋_GB2312" w:cs="Arial Black"/>
                <w:kern w:val="0"/>
                <w:sz w:val="28"/>
                <w:szCs w:val="28"/>
              </w:rPr>
            </w:pPr>
            <w:r>
              <w:rPr>
                <w:rFonts w:hint="eastAsia" w:ascii="仿宋_GB2312" w:eastAsia="仿宋_GB2312" w:cs="Arial Black"/>
                <w:kern w:val="0"/>
                <w:sz w:val="28"/>
                <w:szCs w:val="28"/>
              </w:rPr>
              <w:t>3</w:t>
            </w:r>
          </w:p>
        </w:tc>
        <w:tc>
          <w:tcPr>
            <w:tcW w:w="3426" w:type="dxa"/>
            <w:tcBorders>
              <w:top w:val="single" w:color="auto" w:sz="4" w:space="0"/>
              <w:left w:val="single" w:color="auto" w:sz="4" w:space="0"/>
              <w:bottom w:val="single" w:color="auto" w:sz="4" w:space="0"/>
              <w:right w:val="single" w:color="auto" w:sz="4" w:space="0"/>
            </w:tcBorders>
            <w:noWrap/>
          </w:tcPr>
          <w:p>
            <w:pPr>
              <w:spacing w:line="560" w:lineRule="exact"/>
              <w:rPr>
                <w:rFonts w:hint="eastAsia" w:ascii="仿宋_GB2312" w:eastAsia="仿宋_GB2312" w:cs="Arial Black"/>
                <w:kern w:val="0"/>
                <w:sz w:val="28"/>
                <w:szCs w:val="28"/>
                <w:lang w:eastAsia="zh-CN"/>
              </w:rPr>
            </w:pPr>
            <w:r>
              <w:rPr>
                <w:rFonts w:hint="eastAsia" w:ascii="仿宋_GB2312" w:eastAsia="仿宋_GB2312" w:cs="Arial Black"/>
                <w:kern w:val="0"/>
                <w:sz w:val="28"/>
                <w:szCs w:val="28"/>
                <w:lang w:eastAsia="zh-CN"/>
              </w:rPr>
              <w:t>中共石家庄市栾城区委巡察工作领导小组办公室</w:t>
            </w:r>
          </w:p>
        </w:tc>
        <w:tc>
          <w:tcPr>
            <w:tcW w:w="2404"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仿宋_GB2312" w:eastAsia="仿宋_GB2312" w:cs="Arial Black"/>
                <w:kern w:val="0"/>
                <w:sz w:val="28"/>
                <w:szCs w:val="28"/>
              </w:rPr>
            </w:pPr>
            <w:r>
              <w:rPr>
                <w:rFonts w:hint="eastAsia" w:ascii="仿宋" w:eastAsia="仿宋"/>
                <w:sz w:val="24"/>
              </w:rPr>
              <w:t>行政</w:t>
            </w:r>
            <w:r>
              <w:rPr>
                <w:rFonts w:hint="eastAsia" w:ascii="仿宋" w:eastAsia="仿宋"/>
                <w:sz w:val="24"/>
                <w:lang w:eastAsia="zh-CN"/>
              </w:rPr>
              <w:t>单位</w:t>
            </w:r>
          </w:p>
        </w:tc>
        <w:tc>
          <w:tcPr>
            <w:tcW w:w="2622"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仿宋_GB2312" w:eastAsia="仿宋_GB2312" w:cs="Arial Black"/>
                <w:kern w:val="0"/>
                <w:sz w:val="28"/>
                <w:szCs w:val="28"/>
              </w:rPr>
            </w:pPr>
            <w:r>
              <w:rPr>
                <w:rFonts w:hint="eastAsia" w:ascii="仿宋" w:eastAsia="仿宋"/>
                <w:sz w:val="24"/>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9420" w:type="dxa"/>
            <w:gridSpan w:val="4"/>
            <w:tcBorders>
              <w:top w:val="single" w:color="auto" w:sz="4" w:space="0"/>
              <w:left w:val="nil"/>
              <w:bottom w:val="nil"/>
              <w:right w:val="nil"/>
            </w:tcBorders>
            <w:noWrap/>
          </w:tcPr>
          <w:p>
            <w:pPr>
              <w:spacing w:line="560" w:lineRule="exact"/>
              <w:jc w:val="left"/>
              <w:rPr>
                <w:rFonts w:ascii="仿宋_GB2312" w:eastAsia="仿宋_GB2312" w:cs="Arial Black"/>
                <w:kern w:val="0"/>
                <w:sz w:val="28"/>
                <w:szCs w:val="28"/>
              </w:rPr>
            </w:pPr>
            <w:r>
              <w:rPr>
                <w:rFonts w:hint="eastAsia" w:ascii="仿宋_GB2312" w:eastAsia="仿宋_GB2312" w:cs="Arial Black"/>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eastAsia="仿宋_GB2312" w:cs="Arial Black"/>
                <w:kern w:val="0"/>
                <w:sz w:val="28"/>
                <w:szCs w:val="28"/>
              </w:rPr>
            </w:pPr>
            <w:r>
              <w:rPr>
                <w:rFonts w:hint="eastAsia" w:ascii="仿宋_GB2312" w:eastAsia="仿宋_GB2312" w:cs="Arial Black"/>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
      <w:pPr>
        <w:widowControl/>
        <w:spacing w:after="160" w:line="580" w:lineRule="exact"/>
        <w:ind w:firstLine="1440" w:firstLineChars="200"/>
        <w:rPr>
          <w:rFonts w:ascii="Times New Roman" w:hAnsi="Times New Roman" w:eastAsia="黑体" w:cs="Times New Roman"/>
          <w:sz w:val="32"/>
          <w:szCs w:val="32"/>
        </w:rPr>
        <w:sectPr>
          <w:headerReference r:id="rId7" w:type="default"/>
          <w:pgSz w:w="11906" w:h="16838"/>
          <w:pgMar w:top="2098" w:right="1531" w:bottom="1984" w:left="1531" w:header="851" w:footer="992" w:gutter="0"/>
          <w:pgNumType w:fmt="numberInDash"/>
          <w:cols w:space="720" w:num="1"/>
          <w:titlePg/>
          <w:docGrid w:type="lines" w:linePitch="312" w:charSpace="0"/>
        </w:sectPr>
      </w:pPr>
      <w:r>
        <w:rPr>
          <w:sz w:val="72"/>
        </w:rPr>
        <mc:AlternateContent>
          <mc:Choice Requires="wps">
            <w:drawing>
              <wp:anchor distT="0" distB="0" distL="113665" distR="113665" simplePos="0" relativeHeight="251659264" behindDoc="0" locked="0" layoutInCell="1" allowOverlap="1">
                <wp:simplePos x="0" y="0"/>
                <wp:positionH relativeFrom="column">
                  <wp:posOffset>-1088390</wp:posOffset>
                </wp:positionH>
                <wp:positionV relativeFrom="paragraph">
                  <wp:posOffset>3023870</wp:posOffset>
                </wp:positionV>
                <wp:extent cx="7793355" cy="2200275"/>
                <wp:effectExtent l="0" t="0" r="0" b="0"/>
                <wp:wrapNone/>
                <wp:docPr id="8" name="文本框 151"/>
                <wp:cNvGraphicFramePr/>
                <a:graphic xmlns:a="http://schemas.openxmlformats.org/drawingml/2006/main">
                  <a:graphicData uri="http://schemas.microsoft.com/office/word/2010/wordprocessingShape">
                    <wps:wsp>
                      <wps:cNvSpPr/>
                      <wps:spPr>
                        <a:xfrm>
                          <a:off x="0" y="0"/>
                          <a:ext cx="7793355" cy="2200275"/>
                        </a:xfrm>
                        <a:prstGeom prst="rect">
                          <a:avLst/>
                        </a:prstGeom>
                        <a:noFill/>
                        <a:ln w="6350" cap="flat" cmpd="sng">
                          <a:noFill/>
                          <a:prstDash val="solid"/>
                          <a:round/>
                        </a:ln>
                      </wps:spPr>
                      <wps:txbx>
                        <w:txbxContent>
                          <w:p>
                            <w:pPr>
                              <w:widowControl/>
                              <w:jc w:val="center"/>
                              <w:rPr>
                                <w:rFonts w:ascii="黑体" w:eastAsia="黑体" w:cs="黑体"/>
                                <w:color w:val="000000"/>
                                <w:sz w:val="96"/>
                                <w:szCs w:val="96"/>
                                <w14:shadow w14:blurRad="38100" w14:dist="22860" w14:dir="5400000" w14:sx="100000" w14:sy="100000" w14:algn="tl">
                                  <w14:srgbClr w14:val="000000">
                                    <w14:alpha w14:val="70000"/>
                                  </w14:srgbClr>
                                </w14:shadow>
                              </w:rPr>
                            </w:pPr>
                            <w:r>
                              <w:rPr>
                                <w:rFonts w:hint="eastAsia" w:ascii="黑体" w:eastAsia="黑体" w:cs="黑体"/>
                                <w:color w:val="000000"/>
                                <w:sz w:val="96"/>
                                <w:szCs w:val="96"/>
                                <w14:shadow w14:blurRad="38100" w14:dist="22860" w14:dir="5400000" w14:sx="100000" w14:sy="100000" w14:algn="tl">
                                  <w14:srgbClr w14:val="000000">
                                    <w14:alpha w14:val="70000"/>
                                  </w14:srgbClr>
                                </w14:shadow>
                              </w:rPr>
                              <w:t xml:space="preserve"> </w:t>
                            </w:r>
                          </w:p>
                          <w:p>
                            <w:pPr>
                              <w:widowControl/>
                              <w:jc w:val="center"/>
                              <w:rPr>
                                <w:rFonts w:ascii="黑体" w:eastAsia="黑体" w:cs="黑体"/>
                                <w:color w:val="000000"/>
                                <w:sz w:val="96"/>
                                <w:szCs w:val="96"/>
                                <w14:shadow w14:blurRad="38100" w14:dist="22860" w14:dir="5400000" w14:sx="100000" w14:sy="100000" w14:algn="tl">
                                  <w14:srgbClr w14:val="000000">
                                    <w14:alpha w14:val="70000"/>
                                  </w14:srgbClr>
                                </w14:shadow>
                              </w:rPr>
                            </w:pPr>
                          </w:p>
                        </w:txbxContent>
                      </wps:txbx>
                      <wps:bodyPr vert="horz" wrap="square" lIns="91440" tIns="45720" rIns="91440" bIns="45720" anchor="t" anchorCtr="0" upright="0">
                        <a:noAutofit/>
                      </wps:bodyPr>
                    </wps:wsp>
                  </a:graphicData>
                </a:graphic>
              </wp:anchor>
            </w:drawing>
          </mc:Choice>
          <mc:Fallback>
            <w:pict>
              <v:rect id="文本框 151" o:spid="_x0000_s1026" o:spt="1" style="position:absolute;left:0pt;margin-left:-85.7pt;margin-top:238.1pt;height:173.25pt;width:613.65pt;z-index:251659264;mso-width-relative:page;mso-height-relative:page;" filled="f" stroked="f" coordsize="21600,21600" o:gfxdata="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KkrS94AAAANAQAADwAA&#10;AAAAAAABACAAAAAiAAAAZHJzL2Rvd25yZXYueG1sUEsBAhQAFAAAAAgAh07iQOo1IMQQAgAACgQA&#10;AA4AAAAAAAAAAQAgAAAALQEAAGRycy9lMm9Eb2MueG1sUEsFBgAAAAAGAAYAWQEAAK8FAAAAAA==&#10;">
                <v:fill on="f" focussize="0,0"/>
                <v:stroke on="f" weight="0.5pt" joinstyle="round"/>
                <v:imagedata o:title=""/>
                <o:lock v:ext="edit" aspectratio="f"/>
                <v:textbox>
                  <w:txbxContent>
                    <w:p>
                      <w:pPr>
                        <w:widowControl/>
                        <w:jc w:val="center"/>
                        <w:rPr>
                          <w:rFonts w:ascii="黑体" w:eastAsia="黑体" w:cs="黑体"/>
                          <w:color w:val="000000"/>
                          <w:sz w:val="96"/>
                          <w:szCs w:val="96"/>
                          <w14:shadow w14:blurRad="38100" w14:dist="22860" w14:dir="5400000" w14:sx="100000" w14:sy="100000" w14:algn="tl">
                            <w14:srgbClr w14:val="000000">
                              <w14:alpha w14:val="70000"/>
                            </w14:srgbClr>
                          </w14:shadow>
                        </w:rPr>
                      </w:pPr>
                      <w:r>
                        <w:rPr>
                          <w:rFonts w:hint="eastAsia" w:ascii="黑体" w:eastAsia="黑体" w:cs="黑体"/>
                          <w:color w:val="000000"/>
                          <w:sz w:val="96"/>
                          <w:szCs w:val="96"/>
                          <w14:shadow w14:blurRad="38100" w14:dist="22860" w14:dir="5400000" w14:sx="100000" w14:sy="100000" w14:algn="tl">
                            <w14:srgbClr w14:val="000000">
                              <w14:alpha w14:val="70000"/>
                            </w14:srgbClr>
                          </w14:shadow>
                        </w:rPr>
                        <w:t xml:space="preserve"> </w:t>
                      </w:r>
                    </w:p>
                    <w:p>
                      <w:pPr>
                        <w:widowControl/>
                        <w:jc w:val="center"/>
                        <w:rPr>
                          <w:rFonts w:ascii="黑体" w:eastAsia="黑体" w:cs="黑体"/>
                          <w:color w:val="000000"/>
                          <w:sz w:val="96"/>
                          <w:szCs w:val="96"/>
                          <w14:shadow w14:blurRad="38100" w14:dist="22860" w14:dir="5400000" w14:sx="100000" w14:sy="100000" w14:algn="tl">
                            <w14:srgbClr w14:val="000000">
                              <w14:alpha w14:val="70000"/>
                            </w14:srgbClr>
                          </w14:shadow>
                        </w:rPr>
                      </w:pPr>
                    </w:p>
                  </w:txbxContent>
                </v:textbox>
              </v:rect>
            </w:pict>
          </mc:Fallback>
        </mc:AlternateContent>
      </w:r>
    </w:p>
    <w:p>
      <w:pPr>
        <w:widowControl/>
        <w:spacing w:line="580" w:lineRule="exact"/>
        <w:ind w:firstLine="640" w:firstLineChars="200"/>
        <w:rPr>
          <w:rFonts w:eastAsia="黑体"/>
          <w:sz w:val="32"/>
          <w:szCs w:val="3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r>
        <w:rPr>
          <w:sz w:val="72"/>
        </w:rPr>
        <mc:AlternateContent>
          <mc:Choice Requires="wps">
            <w:drawing>
              <wp:anchor distT="0" distB="0" distL="113665" distR="113665" simplePos="0" relativeHeight="251659264" behindDoc="0" locked="0" layoutInCell="1" allowOverlap="1">
                <wp:simplePos x="0" y="0"/>
                <wp:positionH relativeFrom="column">
                  <wp:posOffset>-1027430</wp:posOffset>
                </wp:positionH>
                <wp:positionV relativeFrom="paragraph">
                  <wp:posOffset>-2637155</wp:posOffset>
                </wp:positionV>
                <wp:extent cx="7793355" cy="3341370"/>
                <wp:effectExtent l="0" t="0" r="0" b="0"/>
                <wp:wrapNone/>
                <wp:docPr id="11" name="文本框 2"/>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7F7F7F"/>
                          </a:fgClr>
                          <a:bgClr>
                            <a:srgbClr val="FFFFFF"/>
                          </a:bgClr>
                        </a:pattFill>
                        <a:ln w="12700" cap="flat" cmpd="sng">
                          <a:solidFill>
                            <a:srgbClr val="A6A6A6"/>
                          </a:solidFill>
                          <a:prstDash val="solid"/>
                          <a:round/>
                        </a:ln>
                      </wps:spPr>
                      <wps:txbx>
                        <w:txbxContent>
                          <w:p>
                            <w:pPr>
                              <w:widowControl/>
                              <w:jc w:val="center"/>
                              <w:rPr>
                                <w:rFonts w:ascii="黑体" w:eastAsia="黑体" w:cs="黑体"/>
                                <w:color w:val="000000"/>
                                <w:sz w:val="90"/>
                                <w:szCs w:val="90"/>
                                <w14:shadow w14:blurRad="38100" w14:dist="22860" w14:dir="5400000" w14:sx="100000" w14:sy="100000" w14:algn="tl">
                                  <w14:srgbClr w14:val="000000">
                                    <w14:alpha w14:val="70000"/>
                                  </w14:srgbClr>
                                </w14:shadow>
                              </w:rPr>
                            </w:pPr>
                            <w:r>
                              <w:rPr>
                                <w:rFonts w:hint="eastAsia" w:ascii="黑体" w:eastAsia="黑体" w:cs="黑体"/>
                                <w:color w:val="000000"/>
                                <w:sz w:val="90"/>
                                <w:szCs w:val="90"/>
                                <w14:shadow w14:blurRad="38100" w14:dist="22860" w14:dir="5400000" w14:sx="100000" w14:sy="100000" w14:algn="tl">
                                  <w14:srgbClr w14:val="000000">
                                    <w14:alpha w14:val="70000"/>
                                  </w14:srgbClr>
                                </w14:shadow>
                              </w:rPr>
                              <w:t xml:space="preserve">第二部分 </w:t>
                            </w:r>
                          </w:p>
                          <w:p>
                            <w:pPr>
                              <w:widowControl/>
                              <w:jc w:val="center"/>
                              <w:rPr>
                                <w:rFonts w:ascii="黑体" w:eastAsia="黑体" w:cs="黑体"/>
                                <w:color w:val="000000"/>
                                <w:sz w:val="90"/>
                                <w:szCs w:val="90"/>
                                <w14:shadow w14:blurRad="38100" w14:dist="22860" w14:dir="5400000" w14:sx="100000" w14:sy="100000" w14:algn="tl">
                                  <w14:srgbClr w14:val="000000">
                                    <w14:alpha w14:val="70000"/>
                                  </w14:srgbClr>
                                </w14:shadow>
                              </w:rPr>
                            </w:pPr>
                            <w:r>
                              <w:rPr>
                                <w:rFonts w:hint="eastAsia" w:ascii="黑体" w:eastAsia="黑体" w:cs="黑体"/>
                                <w:color w:val="000000"/>
                                <w:sz w:val="90"/>
                                <w:szCs w:val="90"/>
                                <w14:shadow w14:blurRad="38100" w14:dist="22860" w14:dir="5400000" w14:sx="100000" w14:sy="100000" w14:algn="tl">
                                  <w14:srgbClr w14:val="000000">
                                    <w14:alpha w14:val="70000"/>
                                  </w14:srgbClr>
                                </w14:shadow>
                              </w:rPr>
                              <w:t>2020年部门决算情况说明</w:t>
                            </w:r>
                          </w:p>
                          <w:p>
                            <w:pPr>
                              <w:widowControl/>
                              <w:jc w:val="center"/>
                              <w:rPr>
                                <w14:textOutline w14:w="9525" w14:cap="flat">
                                  <w14:solidFill>
                                    <w14:srgbClr w14:val="7F7F7F"/>
                                  </w14:solidFill>
                                  <w14:prstDash w14:val="solid"/>
                                  <w14:round/>
                                </w14:textOutline>
                              </w:rPr>
                            </w:pPr>
                          </w:p>
                          <w:p/>
                        </w:txbxContent>
                      </wps:txbx>
                      <wps:bodyPr vert="horz" wrap="square" lIns="91440" tIns="45720" rIns="91440" bIns="45720" anchor="ctr" anchorCtr="0" upright="0">
                        <a:noAutofit/>
                      </wps:bodyPr>
                    </wps:wsp>
                  </a:graphicData>
                </a:graphic>
              </wp:anchor>
            </w:drawing>
          </mc:Choice>
          <mc:Fallback>
            <w:pict>
              <v:rect id="文本框 2" o:spid="_x0000_s1026" o:spt="1" style="position:absolute;left:0pt;margin-left:-80.9pt;margin-top:-207.65pt;height:263.1pt;width:613.65pt;z-index:251659264;v-text-anchor:middle;mso-width-relative:page;mso-height-relative:page;" fillcolor="#7F7F7F" filled="t" stroked="t" coordsize="21600,21600" o:gfxdata="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q6UHb2QAAAA4BAAAPAAAA&#10;AAAAAAEAIAAAACIAAABkcnMvZG93bnJldi54bWxQSwECFAAUAAAACACHTuJAy4qlEU0CAACnBAAA&#10;DgAAAAAAAAABACAAAAAoAQAAZHJzL2Uyb0RvYy54bWxQSwUGAAAAAAYABgBZAQAA5wUAAAAA&#10;">
                <v:fill type="pattern" on="t" color2="#FFFFFF" o:title="5%" focussize="0,0" r:id="rId11"/>
                <v:stroke weight="1pt" color="#A6A6A6" joinstyle="round"/>
                <v:imagedata o:title=""/>
                <o:lock v:ext="edit" aspectratio="f"/>
                <v:textbox>
                  <w:txbxContent>
                    <w:p>
                      <w:pPr>
                        <w:widowControl/>
                        <w:jc w:val="center"/>
                        <w:rPr>
                          <w:rFonts w:ascii="黑体" w:eastAsia="黑体" w:cs="黑体"/>
                          <w:color w:val="000000"/>
                          <w:sz w:val="90"/>
                          <w:szCs w:val="90"/>
                          <w14:shadow w14:blurRad="38100" w14:dist="22860" w14:dir="5400000" w14:sx="100000" w14:sy="100000" w14:algn="tl">
                            <w14:srgbClr w14:val="000000">
                              <w14:alpha w14:val="70000"/>
                            </w14:srgbClr>
                          </w14:shadow>
                        </w:rPr>
                      </w:pPr>
                      <w:r>
                        <w:rPr>
                          <w:rFonts w:hint="eastAsia" w:ascii="黑体" w:eastAsia="黑体" w:cs="黑体"/>
                          <w:color w:val="000000"/>
                          <w:sz w:val="90"/>
                          <w:szCs w:val="90"/>
                          <w14:shadow w14:blurRad="38100" w14:dist="22860" w14:dir="5400000" w14:sx="100000" w14:sy="100000" w14:algn="tl">
                            <w14:srgbClr w14:val="000000">
                              <w14:alpha w14:val="70000"/>
                            </w14:srgbClr>
                          </w14:shadow>
                        </w:rPr>
                        <w:t xml:space="preserve">第二部分 </w:t>
                      </w:r>
                    </w:p>
                    <w:p>
                      <w:pPr>
                        <w:widowControl/>
                        <w:jc w:val="center"/>
                        <w:rPr>
                          <w:rFonts w:ascii="黑体" w:eastAsia="黑体" w:cs="黑体"/>
                          <w:color w:val="000000"/>
                          <w:sz w:val="90"/>
                          <w:szCs w:val="90"/>
                          <w14:shadow w14:blurRad="38100" w14:dist="22860" w14:dir="5400000" w14:sx="100000" w14:sy="100000" w14:algn="tl">
                            <w14:srgbClr w14:val="000000">
                              <w14:alpha w14:val="70000"/>
                            </w14:srgbClr>
                          </w14:shadow>
                        </w:rPr>
                      </w:pPr>
                      <w:r>
                        <w:rPr>
                          <w:rFonts w:hint="eastAsia" w:ascii="黑体" w:eastAsia="黑体" w:cs="黑体"/>
                          <w:color w:val="000000"/>
                          <w:sz w:val="90"/>
                          <w:szCs w:val="90"/>
                          <w14:shadow w14:blurRad="38100" w14:dist="22860" w14:dir="5400000" w14:sx="100000" w14:sy="100000" w14:algn="tl">
                            <w14:srgbClr w14:val="000000">
                              <w14:alpha w14:val="70000"/>
                            </w14:srgbClr>
                          </w14:shadow>
                        </w:rPr>
                        <w:t>2020年部门决算情况说明</w:t>
                      </w:r>
                    </w:p>
                    <w:p>
                      <w:pPr>
                        <w:widowControl/>
                        <w:jc w:val="center"/>
                        <w:rPr>
                          <w14:textOutline w14:w="9525" w14:cap="flat">
                            <w14:solidFill>
                              <w14:srgbClr w14:val="7F7F7F"/>
                            </w14:solidFill>
                            <w14:prstDash w14:val="solid"/>
                            <w14:round/>
                          </w14:textOutline>
                        </w:rPr>
                      </w:pPr>
                    </w:p>
                    <w:p/>
                  </w:txbxContent>
                </v:textbox>
              </v:rect>
            </w:pict>
          </mc:Fallback>
        </mc:AlternateContent>
      </w:r>
    </w:p>
    <w:p>
      <w:pPr>
        <w:jc w:val="center"/>
        <w:rPr>
          <w:rFonts w:ascii="黑体" w:eastAsia="黑体" w:cs="黑体"/>
          <w:sz w:val="56"/>
          <w:szCs w:val="72"/>
        </w:rPr>
      </w:pPr>
    </w:p>
    <w:p>
      <w:pPr>
        <w:keepNext/>
        <w:keepLines/>
        <w:widowControl w:val="0"/>
        <w:snapToGrid w:val="0"/>
        <w:spacing w:line="600" w:lineRule="exact"/>
        <w:ind w:firstLine="420" w:firstLineChars="200"/>
        <w:outlineLvl w:val="1"/>
        <w:rPr>
          <w:rFonts w:ascii="黑体" w:eastAsia="黑体" w:cs="Times New Roman"/>
          <w:sz w:val="32"/>
          <w:szCs w:val="32"/>
        </w:rPr>
      </w:pPr>
      <w:r>
        <w:br w:type="page"/>
      </w:r>
      <w:r>
        <w:rPr>
          <w:rFonts w:hint="eastAsia" w:ascii="黑体" w:eastAsia="黑体" w:cs="Times New Roman"/>
          <w:sz w:val="32"/>
          <w:szCs w:val="32"/>
        </w:rPr>
        <w:t>一、收入</w:t>
      </w:r>
      <w:r>
        <w:rPr>
          <w:rFonts w:hint="eastAsia" w:ascii="黑体"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600" w:lineRule="exact"/>
        <w:ind w:firstLine="640" w:firstLineChars="200"/>
        <w:rPr>
          <w:rFonts w:ascii="仿宋_GB2312" w:eastAsia="仿宋_GB2312" w:cs="Wingdings"/>
          <w:sz w:val="32"/>
          <w:szCs w:val="32"/>
          <w:highlight w:val="yellow"/>
        </w:rPr>
      </w:pPr>
      <w:r>
        <w:rPr>
          <w:rFonts w:hint="eastAsia" w:ascii="仿宋_GB2312" w:eastAsia="仿宋_GB2312" w:cs="Wingdings"/>
          <w:sz w:val="32"/>
          <w:szCs w:val="32"/>
        </w:rPr>
        <w:t>本部门2020年度收、支总计（含结转和结余）</w:t>
      </w:r>
      <w:r>
        <w:rPr>
          <w:rFonts w:hint="eastAsia" w:ascii="仿宋_GB2312" w:eastAsia="仿宋_GB2312" w:cs="Wingdings"/>
          <w:sz w:val="32"/>
          <w:szCs w:val="32"/>
          <w:lang w:val="en-US" w:eastAsia="zh-CN"/>
        </w:rPr>
        <w:t>2889.96</w:t>
      </w:r>
      <w:r>
        <w:rPr>
          <w:rFonts w:hint="eastAsia" w:ascii="仿宋_GB2312" w:eastAsia="仿宋_GB2312" w:cs="Wingdings"/>
          <w:sz w:val="32"/>
          <w:szCs w:val="32"/>
        </w:rPr>
        <w:t>万元。与2019年度决算相比，收</w:t>
      </w:r>
      <w:r>
        <w:rPr>
          <w:rFonts w:hint="eastAsia" w:ascii="仿宋_GB2312" w:eastAsia="仿宋_GB2312" w:cs="Wingdings"/>
          <w:sz w:val="32"/>
          <w:szCs w:val="32"/>
          <w:lang w:eastAsia="zh-CN"/>
        </w:rPr>
        <w:t>入</w:t>
      </w:r>
      <w:r>
        <w:rPr>
          <w:rFonts w:hint="eastAsia" w:ascii="仿宋_GB2312" w:eastAsia="仿宋_GB2312" w:cs="Wingdings"/>
          <w:sz w:val="32"/>
          <w:szCs w:val="32"/>
        </w:rPr>
        <w:t>增加</w:t>
      </w:r>
      <w:r>
        <w:rPr>
          <w:rFonts w:hint="eastAsia" w:ascii="仿宋_GB2312" w:eastAsia="仿宋_GB2312" w:cs="Wingdings"/>
          <w:sz w:val="32"/>
          <w:szCs w:val="32"/>
          <w:lang w:val="en-US" w:eastAsia="zh-CN"/>
        </w:rPr>
        <w:t>47.75</w:t>
      </w:r>
      <w:r>
        <w:rPr>
          <w:rFonts w:hint="eastAsia" w:ascii="仿宋_GB2312" w:eastAsia="仿宋_GB2312" w:cs="Wingdings"/>
          <w:sz w:val="32"/>
          <w:szCs w:val="32"/>
        </w:rPr>
        <w:t>万元，增长</w:t>
      </w:r>
      <w:r>
        <w:rPr>
          <w:rFonts w:hint="eastAsia" w:ascii="仿宋_GB2312" w:eastAsia="仿宋_GB2312" w:cs="Wingdings"/>
          <w:sz w:val="32"/>
          <w:szCs w:val="32"/>
          <w:lang w:val="en-US" w:eastAsia="zh-CN"/>
        </w:rPr>
        <w:t>3.4</w:t>
      </w:r>
      <w:r>
        <w:rPr>
          <w:rFonts w:hint="eastAsia" w:ascii="仿宋_GB2312" w:eastAsia="仿宋_GB2312" w:cs="Wingdings"/>
          <w:sz w:val="32"/>
          <w:szCs w:val="32"/>
        </w:rPr>
        <w:t>%，主要原因是</w:t>
      </w:r>
      <w:r>
        <w:rPr>
          <w:rFonts w:hint="eastAsia" w:ascii="仿宋_GB2312" w:eastAsia="仿宋_GB2312" w:cs="Wingdings"/>
          <w:sz w:val="32"/>
          <w:szCs w:val="32"/>
          <w:lang w:eastAsia="zh-CN"/>
        </w:rPr>
        <w:t>人员增加、工资调整</w:t>
      </w:r>
      <w:r>
        <w:rPr>
          <w:rFonts w:hint="eastAsia" w:ascii="仿宋_GB2312" w:eastAsia="仿宋_GB2312" w:cs="Wingdings"/>
          <w:sz w:val="32"/>
          <w:szCs w:val="32"/>
        </w:rPr>
        <w:t>。支</w:t>
      </w:r>
      <w:r>
        <w:rPr>
          <w:rFonts w:hint="eastAsia" w:ascii="仿宋_GB2312" w:eastAsia="仿宋_GB2312" w:cs="Wingdings"/>
          <w:sz w:val="32"/>
          <w:szCs w:val="32"/>
          <w:lang w:eastAsia="zh-CN"/>
        </w:rPr>
        <w:t>出</w:t>
      </w:r>
      <w:r>
        <w:rPr>
          <w:rFonts w:hint="eastAsia" w:ascii="仿宋_GB2312" w:eastAsia="仿宋_GB2312" w:cs="Wingdings"/>
          <w:sz w:val="32"/>
          <w:szCs w:val="32"/>
        </w:rPr>
        <w:t>增加</w:t>
      </w:r>
      <w:r>
        <w:rPr>
          <w:rFonts w:hint="eastAsia" w:ascii="仿宋_GB2312" w:eastAsia="仿宋_GB2312" w:cs="Wingdings"/>
          <w:sz w:val="32"/>
          <w:szCs w:val="32"/>
          <w:lang w:val="en-US" w:eastAsia="zh-CN"/>
        </w:rPr>
        <w:t>60.1</w:t>
      </w:r>
      <w:r>
        <w:rPr>
          <w:rFonts w:hint="eastAsia" w:ascii="仿宋_GB2312" w:eastAsia="仿宋_GB2312" w:cs="Wingdings"/>
          <w:sz w:val="32"/>
          <w:szCs w:val="32"/>
        </w:rPr>
        <w:t>万元，增长</w:t>
      </w:r>
      <w:r>
        <w:rPr>
          <w:rFonts w:hint="eastAsia" w:ascii="仿宋_GB2312" w:eastAsia="仿宋_GB2312" w:cs="Wingdings"/>
          <w:sz w:val="32"/>
          <w:szCs w:val="32"/>
          <w:lang w:val="en-US" w:eastAsia="zh-CN"/>
        </w:rPr>
        <w:t>4.3</w:t>
      </w:r>
      <w:r>
        <w:rPr>
          <w:rFonts w:hint="eastAsia" w:ascii="仿宋_GB2312" w:eastAsia="仿宋_GB2312" w:cs="Wingdings"/>
          <w:sz w:val="32"/>
          <w:szCs w:val="32"/>
        </w:rPr>
        <w:t>%，主要原因是</w:t>
      </w:r>
      <w:r>
        <w:rPr>
          <w:rFonts w:hint="eastAsia" w:ascii="仿宋_GB2312" w:eastAsia="仿宋_GB2312" w:cs="Wingdings"/>
          <w:sz w:val="32"/>
          <w:szCs w:val="32"/>
          <w:lang w:eastAsia="zh-CN"/>
        </w:rPr>
        <w:t>人员增加、工资调整</w:t>
      </w:r>
      <w:r>
        <w:rPr>
          <w:rFonts w:hint="eastAsia" w:ascii="仿宋_GB2312" w:eastAsia="仿宋_GB2312" w:cs="Wingdings"/>
          <w:sz w:val="32"/>
          <w:szCs w:val="32"/>
        </w:rPr>
        <w:t>。</w:t>
      </w:r>
    </w:p>
    <w:p>
      <w:pPr>
        <w:adjustRightInd w:val="0"/>
        <w:snapToGrid w:val="0"/>
        <w:spacing w:line="600" w:lineRule="exact"/>
        <w:rPr>
          <w:rFonts w:ascii="仿宋_GB2312" w:eastAsia="仿宋_GB2312" w:cs="Wingdings"/>
          <w:sz w:val="32"/>
          <w:szCs w:val="32"/>
        </w:rPr>
      </w:pPr>
      <w:r>
        <w:rPr>
          <w:rFonts w:hint="eastAsia" w:ascii="仿宋_GB2312" w:eastAsia="仿宋_GB2312" w:cs="Wingdings"/>
          <w:sz w:val="32"/>
          <w:szCs w:val="32"/>
        </w:rPr>
        <w:drawing>
          <wp:anchor distT="0" distB="0" distL="114300" distR="114300" simplePos="0" relativeHeight="251659264" behindDoc="1" locked="0" layoutInCell="1" allowOverlap="1">
            <wp:simplePos x="0" y="0"/>
            <wp:positionH relativeFrom="column">
              <wp:posOffset>744220</wp:posOffset>
            </wp:positionH>
            <wp:positionV relativeFrom="paragraph">
              <wp:posOffset>62230</wp:posOffset>
            </wp:positionV>
            <wp:extent cx="4157980" cy="2273300"/>
            <wp:effectExtent l="0" t="0" r="0" b="0"/>
            <wp:wrapNone/>
            <wp:docPr id="15"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adjustRightInd w:val="0"/>
        <w:snapToGrid w:val="0"/>
        <w:spacing w:line="600" w:lineRule="exact"/>
        <w:ind w:firstLine="640" w:firstLineChars="200"/>
        <w:rPr>
          <w:rFonts w:ascii="仿宋_GB2312" w:eastAsia="仿宋_GB2312" w:cs="Wingdings"/>
          <w:sz w:val="32"/>
          <w:szCs w:val="32"/>
        </w:rPr>
      </w:pPr>
    </w:p>
    <w:p>
      <w:pPr>
        <w:tabs>
          <w:tab w:val="left" w:pos="5800"/>
        </w:tabs>
        <w:adjustRightInd w:val="0"/>
        <w:snapToGrid w:val="0"/>
        <w:spacing w:line="600" w:lineRule="exact"/>
        <w:ind w:firstLine="640" w:firstLineChars="200"/>
        <w:rPr>
          <w:rFonts w:ascii="仿宋_GB2312" w:eastAsia="仿宋_GB2312" w:cs="Wingdings"/>
          <w:sz w:val="18"/>
          <w:szCs w:val="18"/>
        </w:rPr>
      </w:pPr>
      <w:r>
        <w:rPr>
          <w:rFonts w:ascii="仿宋_GB2312" w:eastAsia="仿宋_GB2312" w:cs="Wingdings"/>
          <w:sz w:val="32"/>
          <w:szCs w:val="32"/>
        </w:rPr>
        <w:tab/>
      </w:r>
    </w:p>
    <w:p>
      <w:pPr>
        <w:adjustRightInd w:val="0"/>
        <w:snapToGrid w:val="0"/>
        <w:spacing w:line="600" w:lineRule="exact"/>
        <w:ind w:firstLine="640" w:firstLineChars="200"/>
        <w:rPr>
          <w:rFonts w:ascii="仿宋_GB2312" w:eastAsia="仿宋_GB2312" w:cs="Wingdings"/>
          <w:sz w:val="32"/>
          <w:szCs w:val="32"/>
        </w:rPr>
      </w:pPr>
    </w:p>
    <w:p>
      <w:pPr>
        <w:tabs>
          <w:tab w:val="left" w:pos="2820"/>
        </w:tabs>
        <w:adjustRightInd w:val="0"/>
        <w:snapToGrid w:val="0"/>
        <w:spacing w:line="600" w:lineRule="exact"/>
        <w:ind w:firstLine="640" w:firstLineChars="200"/>
        <w:rPr>
          <w:rFonts w:ascii="仿宋_GB2312" w:eastAsia="仿宋_GB2312" w:cs="Wingdings"/>
          <w:sz w:val="20"/>
          <w:szCs w:val="20"/>
        </w:rPr>
      </w:pPr>
      <w:r>
        <w:rPr>
          <w:rFonts w:ascii="仿宋_GB2312" w:eastAsia="仿宋_GB2312" w:cs="Wingdings"/>
          <w:sz w:val="32"/>
          <w:szCs w:val="32"/>
        </w:rPr>
        <w:tab/>
      </w:r>
    </w:p>
    <w:p>
      <w:pPr>
        <w:keepNext/>
        <w:keepLines/>
        <w:widowControl w:val="0"/>
        <w:snapToGrid w:val="0"/>
        <w:spacing w:line="600" w:lineRule="exact"/>
        <w:ind w:firstLine="640" w:firstLineChars="200"/>
        <w:outlineLvl w:val="1"/>
        <w:rPr>
          <w:rFonts w:ascii="黑体" w:eastAsia="黑体" w:cs="Times New Roman"/>
          <w:sz w:val="32"/>
          <w:szCs w:val="32"/>
        </w:rPr>
      </w:pPr>
    </w:p>
    <w:p>
      <w:pPr>
        <w:keepNext/>
        <w:keepLines/>
        <w:widowControl w:val="0"/>
        <w:snapToGrid w:val="0"/>
        <w:spacing w:line="60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600" w:lineRule="exact"/>
        <w:ind w:firstLine="640" w:firstLineChars="200"/>
        <w:rPr>
          <w:rFonts w:hint="eastAsia" w:ascii="仿宋_GB2312" w:eastAsia="仿宋_GB2312" w:cs="Wingdings"/>
          <w:sz w:val="32"/>
          <w:szCs w:val="32"/>
          <w:highlight w:val="yellow"/>
          <w:lang w:eastAsia="zh-CN"/>
        </w:rPr>
      </w:pPr>
      <w:r>
        <w:rPr>
          <w:rFonts w:hint="eastAsia" w:ascii="仿宋_GB2312" w:eastAsia="仿宋_GB2312" w:cs="Wingdings"/>
          <w:sz w:val="32"/>
          <w:szCs w:val="32"/>
        </w:rPr>
        <w:t>本部门2020年度本年收入合计</w:t>
      </w:r>
      <w:r>
        <w:rPr>
          <w:rFonts w:hint="eastAsia" w:ascii="仿宋_GB2312" w:eastAsia="仿宋_GB2312" w:cs="Wingdings"/>
          <w:sz w:val="32"/>
          <w:szCs w:val="32"/>
          <w:lang w:val="en-US" w:eastAsia="zh-CN"/>
        </w:rPr>
        <w:t>1441.97</w:t>
      </w:r>
      <w:r>
        <w:rPr>
          <w:rFonts w:hint="eastAsia" w:ascii="仿宋_GB2312" w:eastAsia="仿宋_GB2312" w:cs="Wingdings"/>
          <w:sz w:val="32"/>
          <w:szCs w:val="32"/>
        </w:rPr>
        <w:t>万元，其中：财政拨款收入</w:t>
      </w:r>
      <w:r>
        <w:rPr>
          <w:rFonts w:hint="eastAsia" w:ascii="仿宋_GB2312" w:eastAsia="仿宋_GB2312" w:cs="Wingdings"/>
          <w:sz w:val="32"/>
          <w:szCs w:val="32"/>
          <w:lang w:val="en-US" w:eastAsia="zh-CN"/>
        </w:rPr>
        <w:t>1441.97</w:t>
      </w:r>
      <w:r>
        <w:rPr>
          <w:rFonts w:hint="eastAsia" w:ascii="仿宋_GB2312" w:eastAsia="仿宋_GB2312" w:cs="Wingdings"/>
          <w:sz w:val="32"/>
          <w:szCs w:val="32"/>
        </w:rPr>
        <w:t>万元，占</w:t>
      </w:r>
      <w:r>
        <w:rPr>
          <w:rFonts w:hint="eastAsia" w:ascii="仿宋_GB2312" w:eastAsia="仿宋_GB2312" w:cs="Wingdings"/>
          <w:sz w:val="32"/>
          <w:szCs w:val="32"/>
          <w:lang w:val="en-US" w:eastAsia="zh-CN"/>
        </w:rPr>
        <w:t>100</w:t>
      </w:r>
      <w:r>
        <w:rPr>
          <w:rFonts w:hint="eastAsia" w:ascii="仿宋_GB2312" w:eastAsia="仿宋_GB2312" w:cs="Wingdings"/>
          <w:sz w:val="32"/>
          <w:szCs w:val="32"/>
        </w:rPr>
        <w:t>%；事业收入</w:t>
      </w:r>
      <w:r>
        <w:rPr>
          <w:rFonts w:hint="eastAsia" w:ascii="仿宋_GB2312" w:eastAsia="仿宋_GB2312" w:cs="Wingdings"/>
          <w:sz w:val="32"/>
          <w:szCs w:val="32"/>
          <w:lang w:val="en-US" w:eastAsia="zh-CN"/>
        </w:rPr>
        <w:t>0</w:t>
      </w:r>
      <w:r>
        <w:rPr>
          <w:rFonts w:hint="eastAsia" w:ascii="仿宋_GB2312" w:eastAsia="仿宋_GB2312" w:cs="Wingdings"/>
          <w:sz w:val="32"/>
          <w:szCs w:val="32"/>
        </w:rPr>
        <w:t>万元，占</w:t>
      </w:r>
      <w:r>
        <w:rPr>
          <w:rFonts w:hint="eastAsia" w:ascii="仿宋_GB2312" w:eastAsia="仿宋_GB2312" w:cs="Wingdings"/>
          <w:sz w:val="32"/>
          <w:szCs w:val="32"/>
          <w:lang w:val="en-US" w:eastAsia="zh-CN"/>
        </w:rPr>
        <w:t>0</w:t>
      </w:r>
      <w:r>
        <w:rPr>
          <w:rFonts w:hint="eastAsia" w:ascii="仿宋_GB2312" w:eastAsia="仿宋_GB2312" w:cs="Wingdings"/>
          <w:sz w:val="32"/>
          <w:szCs w:val="32"/>
        </w:rPr>
        <w:t>%；经营收入</w:t>
      </w:r>
      <w:r>
        <w:rPr>
          <w:rFonts w:hint="eastAsia" w:ascii="仿宋_GB2312" w:eastAsia="仿宋_GB2312" w:cs="Wingdings"/>
          <w:sz w:val="32"/>
          <w:szCs w:val="32"/>
          <w:lang w:val="en-US" w:eastAsia="zh-CN"/>
        </w:rPr>
        <w:t>0</w:t>
      </w:r>
      <w:r>
        <w:rPr>
          <w:rFonts w:hint="eastAsia" w:ascii="仿宋_GB2312" w:eastAsia="仿宋_GB2312" w:cs="Wingdings"/>
          <w:sz w:val="32"/>
          <w:szCs w:val="32"/>
        </w:rPr>
        <w:t>万元，占</w:t>
      </w:r>
      <w:r>
        <w:rPr>
          <w:rFonts w:hint="eastAsia" w:ascii="仿宋_GB2312" w:eastAsia="仿宋_GB2312" w:cs="Wingdings"/>
          <w:sz w:val="32"/>
          <w:szCs w:val="32"/>
          <w:lang w:val="en-US" w:eastAsia="zh-CN"/>
        </w:rPr>
        <w:t>0</w:t>
      </w:r>
      <w:r>
        <w:rPr>
          <w:rFonts w:hint="eastAsia" w:ascii="仿宋_GB2312" w:eastAsia="仿宋_GB2312" w:cs="Wingdings"/>
          <w:sz w:val="32"/>
          <w:szCs w:val="32"/>
        </w:rPr>
        <w:t>%；其他收入</w:t>
      </w:r>
      <w:r>
        <w:rPr>
          <w:rFonts w:hint="eastAsia" w:ascii="仿宋_GB2312" w:eastAsia="仿宋_GB2312" w:cs="Wingdings"/>
          <w:sz w:val="32"/>
          <w:szCs w:val="32"/>
          <w:lang w:val="en-US" w:eastAsia="zh-CN"/>
        </w:rPr>
        <w:t>0</w:t>
      </w:r>
      <w:r>
        <w:rPr>
          <w:rFonts w:hint="eastAsia" w:ascii="仿宋_GB2312" w:eastAsia="仿宋_GB2312" w:cs="Wingdings"/>
          <w:sz w:val="32"/>
          <w:szCs w:val="32"/>
        </w:rPr>
        <w:t>万元，占</w:t>
      </w:r>
      <w:r>
        <w:rPr>
          <w:rFonts w:hint="eastAsia" w:ascii="仿宋_GB2312" w:eastAsia="仿宋_GB2312" w:cs="Wingdings"/>
          <w:sz w:val="32"/>
          <w:szCs w:val="32"/>
          <w:lang w:val="en-US" w:eastAsia="zh-CN"/>
        </w:rPr>
        <w:t>0</w:t>
      </w:r>
      <w:r>
        <w:rPr>
          <w:rFonts w:hint="eastAsia" w:ascii="仿宋_GB2312" w:eastAsia="仿宋_GB2312" w:cs="Wingdings"/>
          <w:sz w:val="32"/>
          <w:szCs w:val="32"/>
        </w:rPr>
        <w:t>%。</w:t>
      </w:r>
    </w:p>
    <w:p>
      <w:pPr>
        <w:snapToGrid w:val="0"/>
        <w:spacing w:line="60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600" w:lineRule="exact"/>
        <w:ind w:firstLine="640" w:firstLineChars="200"/>
        <w:rPr>
          <w:rFonts w:hint="eastAsia" w:ascii="仿宋_GB2312" w:eastAsia="仿宋_GB2312" w:cs="Wingdings"/>
          <w:sz w:val="32"/>
          <w:szCs w:val="32"/>
        </w:rPr>
      </w:pPr>
      <w:r>
        <w:rPr>
          <w:rFonts w:hint="eastAsia" w:ascii="仿宋_GB2312" w:eastAsia="仿宋_GB2312" w:cs="Wingdings"/>
          <w:sz w:val="32"/>
          <w:szCs w:val="32"/>
        </w:rPr>
        <w:t>本部门2020年度本年支出合计</w:t>
      </w:r>
      <w:r>
        <w:rPr>
          <w:rFonts w:hint="eastAsia" w:ascii="仿宋_GB2312" w:eastAsia="仿宋_GB2312" w:cs="Wingdings"/>
          <w:sz w:val="32"/>
          <w:szCs w:val="32"/>
          <w:lang w:val="en-US" w:eastAsia="zh-CN"/>
        </w:rPr>
        <w:t>1447.99</w:t>
      </w:r>
      <w:r>
        <w:rPr>
          <w:rFonts w:hint="eastAsia" w:ascii="仿宋_GB2312" w:eastAsia="仿宋_GB2312" w:cs="Wingdings"/>
          <w:sz w:val="32"/>
          <w:szCs w:val="32"/>
        </w:rPr>
        <w:t>万元，其中：基本支出</w:t>
      </w:r>
      <w:r>
        <w:rPr>
          <w:rFonts w:hint="eastAsia" w:ascii="仿宋_GB2312" w:eastAsia="仿宋_GB2312" w:cs="Wingdings"/>
          <w:sz w:val="32"/>
          <w:szCs w:val="32"/>
          <w:lang w:val="en-US" w:eastAsia="zh-CN"/>
        </w:rPr>
        <w:t>1152.85</w:t>
      </w:r>
      <w:r>
        <w:rPr>
          <w:rFonts w:hint="eastAsia" w:ascii="仿宋_GB2312" w:eastAsia="仿宋_GB2312" w:cs="Wingdings"/>
          <w:sz w:val="32"/>
          <w:szCs w:val="32"/>
        </w:rPr>
        <w:t>万元，占</w:t>
      </w:r>
      <w:r>
        <w:rPr>
          <w:rFonts w:hint="eastAsia" w:ascii="仿宋_GB2312" w:eastAsia="仿宋_GB2312" w:cs="Wingdings"/>
          <w:sz w:val="32"/>
          <w:szCs w:val="32"/>
          <w:lang w:val="en-US" w:eastAsia="zh-CN"/>
        </w:rPr>
        <w:t>79.62</w:t>
      </w:r>
      <w:r>
        <w:rPr>
          <w:rFonts w:hint="eastAsia" w:ascii="仿宋_GB2312" w:eastAsia="仿宋_GB2312" w:cs="Wingdings"/>
          <w:sz w:val="32"/>
          <w:szCs w:val="32"/>
        </w:rPr>
        <w:t>%；项目支出</w:t>
      </w:r>
      <w:r>
        <w:rPr>
          <w:rFonts w:hint="eastAsia" w:ascii="仿宋_GB2312" w:eastAsia="仿宋_GB2312" w:cs="Wingdings"/>
          <w:sz w:val="32"/>
          <w:szCs w:val="32"/>
          <w:lang w:val="en-US" w:eastAsia="zh-CN"/>
        </w:rPr>
        <w:t>295.14</w:t>
      </w:r>
      <w:r>
        <w:rPr>
          <w:rFonts w:hint="eastAsia" w:ascii="仿宋_GB2312" w:eastAsia="仿宋_GB2312" w:cs="Wingdings"/>
          <w:sz w:val="32"/>
          <w:szCs w:val="32"/>
        </w:rPr>
        <w:t>万元，占</w:t>
      </w:r>
      <w:r>
        <w:rPr>
          <w:rFonts w:hint="eastAsia" w:ascii="仿宋_GB2312" w:eastAsia="仿宋_GB2312" w:cs="Wingdings"/>
          <w:sz w:val="32"/>
          <w:szCs w:val="32"/>
          <w:lang w:val="en-US" w:eastAsia="zh-CN"/>
        </w:rPr>
        <w:t>20.38</w:t>
      </w:r>
      <w:r>
        <w:rPr>
          <w:rFonts w:hint="eastAsia" w:ascii="仿宋_GB2312" w:eastAsia="仿宋_GB2312" w:cs="Wingdings"/>
          <w:sz w:val="32"/>
          <w:szCs w:val="32"/>
        </w:rPr>
        <w:t>%；经营支出</w:t>
      </w:r>
      <w:r>
        <w:rPr>
          <w:rFonts w:hint="eastAsia" w:ascii="仿宋_GB2312" w:eastAsia="仿宋_GB2312" w:cs="Wingdings"/>
          <w:sz w:val="32"/>
          <w:szCs w:val="32"/>
          <w:lang w:val="en-US" w:eastAsia="zh-CN"/>
        </w:rPr>
        <w:t>0</w:t>
      </w:r>
      <w:r>
        <w:rPr>
          <w:rFonts w:hint="eastAsia" w:ascii="仿宋_GB2312" w:eastAsia="仿宋_GB2312" w:cs="Wingdings"/>
          <w:sz w:val="32"/>
          <w:szCs w:val="32"/>
        </w:rPr>
        <w:t>万元，占</w:t>
      </w:r>
      <w:r>
        <w:rPr>
          <w:rFonts w:hint="eastAsia" w:ascii="仿宋_GB2312" w:eastAsia="仿宋_GB2312" w:cs="Wingdings"/>
          <w:sz w:val="32"/>
          <w:szCs w:val="32"/>
          <w:lang w:val="en-US" w:eastAsia="zh-CN"/>
        </w:rPr>
        <w:t>0</w:t>
      </w:r>
      <w:r>
        <w:rPr>
          <w:rFonts w:hint="eastAsia" w:ascii="仿宋_GB2312" w:eastAsia="仿宋_GB2312" w:cs="Wingdings"/>
          <w:sz w:val="32"/>
          <w:szCs w:val="32"/>
        </w:rPr>
        <w:t>%。如图所示：</w:t>
      </w:r>
    </w:p>
    <w:p>
      <w:pPr>
        <w:adjustRightInd w:val="0"/>
        <w:snapToGrid w:val="0"/>
        <w:spacing w:line="600" w:lineRule="exact"/>
        <w:ind w:firstLine="640" w:firstLineChars="200"/>
        <w:rPr>
          <w:rFonts w:hint="eastAsia" w:ascii="仿宋_GB2312" w:eastAsia="仿宋_GB2312" w:cs="Wingdings"/>
          <w:sz w:val="32"/>
          <w:szCs w:val="32"/>
        </w:rPr>
      </w:pPr>
    </w:p>
    <w:p>
      <w:pPr>
        <w:adjustRightInd w:val="0"/>
        <w:snapToGrid w:val="0"/>
        <w:spacing w:line="600" w:lineRule="exact"/>
        <w:ind w:firstLine="640" w:firstLineChars="200"/>
        <w:rPr>
          <w:rFonts w:hint="eastAsia" w:ascii="仿宋_GB2312" w:eastAsia="仿宋_GB2312" w:cs="Wingdings"/>
          <w:sz w:val="32"/>
          <w:szCs w:val="32"/>
        </w:rPr>
      </w:pPr>
    </w:p>
    <w:p>
      <w:pPr>
        <w:adjustRightInd w:val="0"/>
        <w:snapToGrid w:val="0"/>
        <w:spacing w:line="600" w:lineRule="exact"/>
        <w:ind w:firstLine="420" w:firstLineChars="200"/>
        <w:rPr>
          <w:rFonts w:hint="eastAsia" w:ascii="仿宋_GB2312" w:eastAsia="仿宋_GB2312" w:cs="Wingdings"/>
          <w:sz w:val="32"/>
          <w:szCs w:val="32"/>
        </w:rPr>
      </w:pPr>
      <w:r>
        <w:drawing>
          <wp:anchor distT="0" distB="0" distL="114300" distR="114300" simplePos="0" relativeHeight="251659264" behindDoc="0" locked="0" layoutInCell="1" allowOverlap="1">
            <wp:simplePos x="0" y="0"/>
            <wp:positionH relativeFrom="column">
              <wp:posOffset>958850</wp:posOffset>
            </wp:positionH>
            <wp:positionV relativeFrom="paragraph">
              <wp:posOffset>71755</wp:posOffset>
            </wp:positionV>
            <wp:extent cx="3529965" cy="2334895"/>
            <wp:effectExtent l="0" t="0" r="41" b="28"/>
            <wp:wrapSquare wrapText="bothSides"/>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adjustRightInd w:val="0"/>
        <w:snapToGrid w:val="0"/>
        <w:spacing w:line="600" w:lineRule="exact"/>
        <w:ind w:firstLine="1920" w:firstLineChars="600"/>
        <w:rPr>
          <w:rFonts w:ascii="仿宋_GB2312" w:eastAsia="仿宋_GB2312" w:cs="Wingdings"/>
          <w:sz w:val="32"/>
          <w:szCs w:val="32"/>
        </w:rPr>
      </w:pPr>
    </w:p>
    <w:p>
      <w:pPr>
        <w:adjustRightInd w:val="0"/>
        <w:snapToGrid w:val="0"/>
        <w:spacing w:line="600" w:lineRule="exact"/>
        <w:ind w:firstLine="1920" w:firstLineChars="600"/>
        <w:rPr>
          <w:rFonts w:ascii="仿宋_GB2312" w:eastAsia="仿宋_GB2312" w:cs="Wingdings"/>
          <w:sz w:val="32"/>
          <w:szCs w:val="32"/>
        </w:rPr>
      </w:pPr>
    </w:p>
    <w:p>
      <w:pPr>
        <w:adjustRightInd w:val="0"/>
        <w:snapToGrid w:val="0"/>
        <w:spacing w:line="600" w:lineRule="exact"/>
        <w:ind w:firstLine="1920" w:firstLineChars="600"/>
        <w:rPr>
          <w:rFonts w:ascii="仿宋_GB2312" w:eastAsia="仿宋_GB2312" w:cs="Wingdings"/>
          <w:sz w:val="32"/>
          <w:szCs w:val="32"/>
        </w:rPr>
      </w:pPr>
    </w:p>
    <w:p>
      <w:pPr>
        <w:keepNext/>
        <w:keepLines/>
        <w:widowControl w:val="0"/>
        <w:snapToGrid w:val="0"/>
        <w:spacing w:line="600" w:lineRule="exact"/>
        <w:ind w:firstLine="643" w:firstLineChars="200"/>
        <w:outlineLvl w:val="1"/>
        <w:rPr>
          <w:rFonts w:ascii="黑体" w:eastAsia="黑体" w:cs="Times New Roman"/>
          <w:b/>
          <w:bCs/>
          <w:sz w:val="32"/>
          <w:szCs w:val="32"/>
        </w:rPr>
      </w:pPr>
    </w:p>
    <w:p>
      <w:pPr>
        <w:keepNext/>
        <w:keepLines/>
        <w:widowControl w:val="0"/>
        <w:snapToGrid w:val="0"/>
        <w:spacing w:line="600" w:lineRule="exact"/>
        <w:ind w:firstLine="643" w:firstLineChars="200"/>
        <w:outlineLvl w:val="1"/>
        <w:rPr>
          <w:rFonts w:ascii="黑体" w:eastAsia="黑体" w:cs="Times New Roman"/>
          <w:b/>
          <w:bCs/>
          <w:sz w:val="32"/>
          <w:szCs w:val="32"/>
        </w:rPr>
      </w:pPr>
    </w:p>
    <w:p>
      <w:pPr>
        <w:keepNext/>
        <w:keepLines/>
        <w:widowControl w:val="0"/>
        <w:snapToGrid w:val="0"/>
        <w:spacing w:line="600" w:lineRule="exact"/>
        <w:ind w:firstLine="640" w:firstLineChars="200"/>
        <w:outlineLvl w:val="1"/>
        <w:rPr>
          <w:rFonts w:ascii="黑体" w:eastAsia="黑体" w:cs="Times New Roman"/>
          <w:b/>
          <w:bCs/>
          <w:sz w:val="32"/>
          <w:szCs w:val="32"/>
        </w:rPr>
      </w:pPr>
      <w:r>
        <w:rPr>
          <w:sz w:val="32"/>
        </w:rPr>
        <mc:AlternateContent>
          <mc:Choice Requires="wps">
            <w:drawing>
              <wp:anchor distT="0" distB="0" distL="113665" distR="113665" simplePos="0" relativeHeight="251659264" behindDoc="1" locked="0" layoutInCell="1" allowOverlap="1">
                <wp:simplePos x="0" y="0"/>
                <wp:positionH relativeFrom="column">
                  <wp:posOffset>1076960</wp:posOffset>
                </wp:positionH>
                <wp:positionV relativeFrom="paragraph">
                  <wp:posOffset>245745</wp:posOffset>
                </wp:positionV>
                <wp:extent cx="3314065" cy="483235"/>
                <wp:effectExtent l="0" t="0" r="0" b="0"/>
                <wp:wrapNone/>
                <wp:docPr id="17" name="文本框 30"/>
                <wp:cNvGraphicFramePr/>
                <a:graphic xmlns:a="http://schemas.openxmlformats.org/drawingml/2006/main">
                  <a:graphicData uri="http://schemas.microsoft.com/office/word/2010/wordprocessingShape">
                    <wps:wsp>
                      <wps:cNvSpPr/>
                      <wps:spPr>
                        <a:xfrm>
                          <a:off x="0" y="0"/>
                          <a:ext cx="3314065" cy="483235"/>
                        </a:xfrm>
                        <a:prstGeom prst="rect">
                          <a:avLst/>
                        </a:prstGeom>
                        <a:solidFill>
                          <a:srgbClr val="FFFFFF"/>
                        </a:solidFill>
                        <a:ln w="6350" cap="flat" cmpd="sng">
                          <a:noFill/>
                          <a:prstDash val="solid"/>
                          <a:round/>
                        </a:ln>
                      </wps:spPr>
                      <wps:txbx>
                        <w:txbxContent>
                          <w:p>
                            <w:pPr>
                              <w:adjustRightInd w:val="0"/>
                              <w:snapToGrid w:val="0"/>
                              <w:spacing w:after="160" w:line="560" w:lineRule="exact"/>
                              <w:jc w:val="center"/>
                              <w:rPr>
                                <w:rFonts w:ascii="仿宋_GB2312" w:eastAsia="仿宋_GB2312" w:cs="Wingdings"/>
                                <w:sz w:val="28"/>
                                <w:szCs w:val="28"/>
                              </w:rPr>
                            </w:pPr>
                            <w:r>
                              <w:rPr>
                                <w:rFonts w:hint="eastAsia" w:ascii="仿宋_GB2312" w:eastAsia="仿宋_GB2312" w:cs="Wingdings"/>
                                <w:sz w:val="28"/>
                                <w:szCs w:val="28"/>
                              </w:rPr>
                              <w:t>图</w:t>
                            </w:r>
                            <w:r>
                              <w:rPr>
                                <w:rFonts w:hint="eastAsia" w:ascii="仿宋_GB2312" w:eastAsia="仿宋_GB2312" w:cs="Wingdings"/>
                                <w:sz w:val="28"/>
                                <w:szCs w:val="28"/>
                                <w:lang w:val="en-US" w:eastAsia="zh-CN"/>
                              </w:rPr>
                              <w:t>2</w:t>
                            </w:r>
                            <w:r>
                              <w:rPr>
                                <w:rFonts w:hint="eastAsia" w:ascii="仿宋_GB2312" w:eastAsia="仿宋_GB2312" w:cs="Wingdings"/>
                                <w:sz w:val="28"/>
                                <w:szCs w:val="28"/>
                              </w:rPr>
                              <w:t>：支出决算构成情况（按支出性质）</w:t>
                            </w:r>
                          </w:p>
                          <w:p>
                            <w:pPr>
                              <w:spacing w:after="160" w:line="480" w:lineRule="auto"/>
                              <w:rPr>
                                <w:rFonts w:ascii="Times New Roman" w:hAnsi="Times New Roman" w:eastAsia="宋体" w:cs="Times New Roman"/>
                                <w:sz w:val="20"/>
                              </w:rPr>
                            </w:pPr>
                          </w:p>
                        </w:txbxContent>
                      </wps:txbx>
                      <wps:bodyPr vert="horz" wrap="square" lIns="91440" tIns="45720" rIns="91440" bIns="45720" anchor="t" anchorCtr="0" upright="0">
                        <a:noAutofit/>
                      </wps:bodyPr>
                    </wps:wsp>
                  </a:graphicData>
                </a:graphic>
              </wp:anchor>
            </w:drawing>
          </mc:Choice>
          <mc:Fallback>
            <w:pict>
              <v:rect id="文本框 30" o:spid="_x0000_s1026" o:spt="1" style="position:absolute;left:0pt;margin-left:84.8pt;margin-top:19.35pt;height:38.05pt;width:260.95pt;z-index:-251657216;mso-width-relative:page;mso-height-relative:page;" fillcolor="#FFFFFF" filled="t" stroked="f" coordsize="21600,21600" o:gfxdata="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bGAc1wAA&#10;AAoBAAAPAAAAAAAAAAEAIAAAACIAAABkcnMvZG93bnJldi54bWxQSwECFAAUAAAACACHTuJAO9aB&#10;iR8CAAAyBAAADgAAAAAAAAABACAAAAAmAQAAZHJzL2Uyb0RvYy54bWxQSwUGAAAAAAYABgBZAQAA&#10;twUAAAAA&#10;">
                <v:fill on="t" focussize="0,0"/>
                <v:stroke on="f" weight="0.5pt" joinstyle="round"/>
                <v:imagedata o:title=""/>
                <o:lock v:ext="edit" aspectratio="f"/>
                <v:textbox>
                  <w:txbxContent>
                    <w:p>
                      <w:pPr>
                        <w:adjustRightInd w:val="0"/>
                        <w:snapToGrid w:val="0"/>
                        <w:spacing w:after="160" w:line="560" w:lineRule="exact"/>
                        <w:jc w:val="center"/>
                        <w:rPr>
                          <w:rFonts w:ascii="仿宋_GB2312" w:eastAsia="仿宋_GB2312" w:cs="Wingdings"/>
                          <w:sz w:val="28"/>
                          <w:szCs w:val="28"/>
                        </w:rPr>
                      </w:pPr>
                      <w:r>
                        <w:rPr>
                          <w:rFonts w:hint="eastAsia" w:ascii="仿宋_GB2312" w:eastAsia="仿宋_GB2312" w:cs="Wingdings"/>
                          <w:sz w:val="28"/>
                          <w:szCs w:val="28"/>
                        </w:rPr>
                        <w:t>图</w:t>
                      </w:r>
                      <w:r>
                        <w:rPr>
                          <w:rFonts w:hint="eastAsia" w:ascii="仿宋_GB2312" w:eastAsia="仿宋_GB2312" w:cs="Wingdings"/>
                          <w:sz w:val="28"/>
                          <w:szCs w:val="28"/>
                          <w:lang w:val="en-US" w:eastAsia="zh-CN"/>
                        </w:rPr>
                        <w:t>2</w:t>
                      </w:r>
                      <w:r>
                        <w:rPr>
                          <w:rFonts w:hint="eastAsia" w:ascii="仿宋_GB2312" w:eastAsia="仿宋_GB2312" w:cs="Wingdings"/>
                          <w:sz w:val="28"/>
                          <w:szCs w:val="28"/>
                        </w:rPr>
                        <w:t>：支出决算构成情况（按支出性质）</w:t>
                      </w:r>
                    </w:p>
                    <w:p>
                      <w:pPr>
                        <w:spacing w:after="160" w:line="480" w:lineRule="auto"/>
                        <w:rPr>
                          <w:rFonts w:ascii="Times New Roman" w:hAnsi="Times New Roman" w:eastAsia="宋体" w:cs="Times New Roman"/>
                          <w:sz w:val="20"/>
                        </w:rPr>
                      </w:pPr>
                    </w:p>
                  </w:txbxContent>
                </v:textbox>
              </v:rect>
            </w:pict>
          </mc:Fallback>
        </mc:AlternateContent>
      </w:r>
    </w:p>
    <w:p>
      <w:pPr>
        <w:keepNext/>
        <w:keepLines/>
        <w:widowControl w:val="0"/>
        <w:snapToGrid w:val="0"/>
        <w:spacing w:line="600" w:lineRule="exact"/>
        <w:outlineLvl w:val="1"/>
        <w:rPr>
          <w:rFonts w:ascii="黑体" w:eastAsia="黑体" w:cs="Times New Roman"/>
          <w:b/>
          <w:bCs/>
          <w:sz w:val="32"/>
          <w:szCs w:val="32"/>
        </w:rPr>
      </w:pPr>
    </w:p>
    <w:p>
      <w:pPr>
        <w:keepNext/>
        <w:keepLines/>
        <w:widowControl w:val="0"/>
        <w:snapToGrid w:val="0"/>
        <w:spacing w:line="60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600" w:lineRule="exact"/>
        <w:ind w:firstLine="643" w:firstLineChars="200"/>
        <w:rPr>
          <w:rFonts w:ascii="仿宋_GB2312" w:eastAsia="仿宋_GB2312" w:cs="Wingdings"/>
          <w:sz w:val="32"/>
          <w:szCs w:val="32"/>
        </w:rPr>
      </w:pPr>
      <w:r>
        <w:rPr>
          <w:rFonts w:hint="eastAsia" w:ascii="楷体_GB2312" w:eastAsia="楷体_GB2312" w:cs="Mongolian Baiti"/>
          <w:b/>
          <w:bCs/>
          <w:sz w:val="32"/>
          <w:szCs w:val="32"/>
        </w:rPr>
        <w:t>（一）财政拨款收支与2019年度决算对比情况</w:t>
      </w:r>
    </w:p>
    <w:p>
      <w:pPr>
        <w:adjustRightInd w:val="0"/>
        <w:snapToGrid w:val="0"/>
        <w:spacing w:line="600" w:lineRule="exact"/>
        <w:ind w:firstLine="640" w:firstLineChars="200"/>
        <w:rPr>
          <w:rFonts w:hint="eastAsia" w:ascii="仿宋_GB2312" w:eastAsia="仿宋_GB2312" w:cs="Wingdings"/>
          <w:sz w:val="32"/>
          <w:szCs w:val="32"/>
          <w:lang w:eastAsia="zh-CN"/>
        </w:rPr>
      </w:pPr>
      <w:r>
        <w:rPr>
          <w:rFonts w:hint="eastAsia" w:ascii="仿宋_GB2312" w:eastAsia="仿宋_GB2312" w:cs="Wingdings"/>
          <w:sz w:val="32"/>
          <w:szCs w:val="32"/>
        </w:rPr>
        <w:t>本部门2020年度财政拨款收支均为一般公共预算财政拨款，其中本年收入</w:t>
      </w:r>
      <w:r>
        <w:rPr>
          <w:rFonts w:hint="eastAsia" w:ascii="仿宋_GB2312" w:eastAsia="仿宋_GB2312" w:cs="Wingdings"/>
          <w:sz w:val="32"/>
          <w:szCs w:val="32"/>
          <w:lang w:val="en-US" w:eastAsia="zh-CN"/>
        </w:rPr>
        <w:t>1441.97</w:t>
      </w:r>
      <w:r>
        <w:rPr>
          <w:rFonts w:hint="eastAsia" w:ascii="仿宋_GB2312" w:eastAsia="仿宋_GB2312" w:cs="Wingdings"/>
          <w:sz w:val="32"/>
          <w:szCs w:val="32"/>
        </w:rPr>
        <w:t>万元,比2019年度增加</w:t>
      </w:r>
      <w:r>
        <w:rPr>
          <w:rFonts w:hint="eastAsia" w:ascii="仿宋_GB2312" w:eastAsia="仿宋_GB2312" w:cs="Wingdings"/>
          <w:sz w:val="32"/>
          <w:szCs w:val="32"/>
          <w:lang w:val="en-US" w:eastAsia="zh-CN"/>
        </w:rPr>
        <w:t>47.75</w:t>
      </w:r>
      <w:r>
        <w:rPr>
          <w:rFonts w:hint="eastAsia" w:ascii="仿宋_GB2312" w:eastAsia="仿宋_GB2312" w:cs="Wingdings"/>
          <w:sz w:val="32"/>
          <w:szCs w:val="32"/>
        </w:rPr>
        <w:t>万元，增长</w:t>
      </w:r>
      <w:r>
        <w:rPr>
          <w:rFonts w:hint="eastAsia" w:ascii="仿宋_GB2312" w:eastAsia="仿宋_GB2312" w:cs="Wingdings"/>
          <w:sz w:val="32"/>
          <w:szCs w:val="32"/>
          <w:lang w:val="en-US" w:eastAsia="zh-CN"/>
        </w:rPr>
        <w:t>3.4</w:t>
      </w:r>
      <w:r>
        <w:rPr>
          <w:rFonts w:hint="eastAsia" w:ascii="仿宋_GB2312" w:eastAsia="仿宋_GB2312" w:cs="Wingdings"/>
          <w:sz w:val="32"/>
          <w:szCs w:val="32"/>
        </w:rPr>
        <w:t>%，主要是</w:t>
      </w:r>
      <w:r>
        <w:rPr>
          <w:rFonts w:hint="eastAsia" w:ascii="仿宋_GB2312" w:eastAsia="仿宋_GB2312" w:cs="Wingdings"/>
          <w:sz w:val="32"/>
          <w:szCs w:val="32"/>
          <w:lang w:eastAsia="zh-CN"/>
        </w:rPr>
        <w:t>人员增加、工资调整</w:t>
      </w:r>
      <w:r>
        <w:rPr>
          <w:rFonts w:hint="eastAsia" w:ascii="仿宋_GB2312" w:eastAsia="仿宋_GB2312" w:cs="Wingdings"/>
          <w:sz w:val="32"/>
          <w:szCs w:val="32"/>
        </w:rPr>
        <w:t>；本年支出</w:t>
      </w:r>
      <w:r>
        <w:rPr>
          <w:rFonts w:hint="eastAsia" w:ascii="仿宋_GB2312" w:eastAsia="仿宋_GB2312" w:cs="Wingdings"/>
          <w:sz w:val="32"/>
          <w:szCs w:val="32"/>
          <w:lang w:val="en-US" w:eastAsia="zh-CN"/>
        </w:rPr>
        <w:t>1447.99</w:t>
      </w:r>
      <w:r>
        <w:rPr>
          <w:rFonts w:hint="eastAsia" w:ascii="仿宋_GB2312" w:eastAsia="仿宋_GB2312" w:cs="Wingdings"/>
          <w:sz w:val="32"/>
          <w:szCs w:val="32"/>
        </w:rPr>
        <w:t>万元，增加</w:t>
      </w:r>
      <w:r>
        <w:rPr>
          <w:rFonts w:hint="eastAsia" w:ascii="仿宋_GB2312" w:eastAsia="仿宋_GB2312" w:cs="Wingdings"/>
          <w:sz w:val="32"/>
          <w:szCs w:val="32"/>
          <w:lang w:val="en-US" w:eastAsia="zh-CN"/>
        </w:rPr>
        <w:t>60.1</w:t>
      </w:r>
      <w:r>
        <w:rPr>
          <w:rFonts w:hint="eastAsia" w:ascii="仿宋_GB2312" w:eastAsia="仿宋_GB2312" w:cs="Wingdings"/>
          <w:sz w:val="32"/>
          <w:szCs w:val="32"/>
        </w:rPr>
        <w:t>万元，增长</w:t>
      </w:r>
      <w:r>
        <w:rPr>
          <w:rFonts w:hint="eastAsia" w:ascii="仿宋_GB2312" w:eastAsia="仿宋_GB2312" w:cs="Wingdings"/>
          <w:sz w:val="32"/>
          <w:szCs w:val="32"/>
          <w:lang w:val="en-US" w:eastAsia="zh-CN"/>
        </w:rPr>
        <w:t>4.3</w:t>
      </w:r>
      <w:r>
        <w:rPr>
          <w:rFonts w:hint="eastAsia" w:ascii="仿宋_GB2312" w:eastAsia="仿宋_GB2312" w:cs="Wingdings"/>
          <w:sz w:val="32"/>
          <w:szCs w:val="32"/>
        </w:rPr>
        <w:t>%，主要是</w:t>
      </w:r>
      <w:r>
        <w:rPr>
          <w:rFonts w:hint="eastAsia" w:ascii="仿宋_GB2312" w:eastAsia="仿宋_GB2312" w:cs="Wingdings"/>
          <w:sz w:val="32"/>
          <w:szCs w:val="32"/>
          <w:lang w:eastAsia="zh-CN"/>
        </w:rPr>
        <w:t>人员增加、工资调整。</w:t>
      </w:r>
    </w:p>
    <w:p>
      <w:pPr>
        <w:adjustRightInd w:val="0"/>
        <w:snapToGrid w:val="0"/>
        <w:spacing w:line="600" w:lineRule="exact"/>
        <w:ind w:firstLine="420" w:firstLineChars="200"/>
        <w:rPr>
          <w:rFonts w:hint="eastAsia" w:ascii="仿宋_GB2312" w:eastAsia="仿宋_GB2312" w:cs="Wingdings"/>
          <w:sz w:val="32"/>
          <w:szCs w:val="32"/>
          <w:lang w:eastAsia="zh-CN"/>
        </w:rPr>
      </w:pPr>
      <w:r>
        <w:drawing>
          <wp:anchor distT="0" distB="0" distL="114300" distR="114300" simplePos="0" relativeHeight="251659264" behindDoc="0" locked="0" layoutInCell="1" allowOverlap="1">
            <wp:simplePos x="0" y="0"/>
            <wp:positionH relativeFrom="column">
              <wp:posOffset>1463675</wp:posOffset>
            </wp:positionH>
            <wp:positionV relativeFrom="paragraph">
              <wp:posOffset>198120</wp:posOffset>
            </wp:positionV>
            <wp:extent cx="3263900" cy="2458085"/>
            <wp:effectExtent l="0" t="0" r="18" b="6"/>
            <wp:wrapSquare wrapText="bothSides"/>
            <wp:docPr id="2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adjustRightInd w:val="0"/>
        <w:snapToGrid w:val="0"/>
        <w:spacing w:line="600" w:lineRule="exact"/>
        <w:ind w:firstLine="420" w:firstLineChars="200"/>
        <w:rPr>
          <w:rFonts w:hint="eastAsia" w:ascii="仿宋_GB2312" w:eastAsia="仿宋_GB2312" w:cs="Wingdings"/>
          <w:sz w:val="32"/>
          <w:szCs w:val="32"/>
          <w:lang w:eastAsia="zh-CN"/>
        </w:rPr>
      </w:pPr>
      <w:r>
        <w:drawing>
          <wp:anchor distT="0" distB="0" distL="114300" distR="114300" simplePos="0" relativeHeight="251659264" behindDoc="1" locked="0" layoutInCell="1" allowOverlap="1">
            <wp:simplePos x="0" y="0"/>
            <wp:positionH relativeFrom="column">
              <wp:posOffset>1059180</wp:posOffset>
            </wp:positionH>
            <wp:positionV relativeFrom="paragraph">
              <wp:posOffset>7386955</wp:posOffset>
            </wp:positionV>
            <wp:extent cx="2442845" cy="1957705"/>
            <wp:effectExtent l="0" t="0" r="0" b="0"/>
            <wp:wrapNone/>
            <wp:docPr id="21"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adjustRightInd w:val="0"/>
        <w:snapToGrid w:val="0"/>
        <w:spacing w:line="600" w:lineRule="exact"/>
        <w:ind w:firstLine="640" w:firstLineChars="200"/>
        <w:rPr>
          <w:rFonts w:hint="eastAsia" w:ascii="仿宋_GB2312" w:eastAsia="仿宋_GB2312" w:cs="Wingdings"/>
          <w:sz w:val="32"/>
          <w:szCs w:val="32"/>
          <w:lang w:eastAsia="zh-CN"/>
        </w:rPr>
      </w:pPr>
    </w:p>
    <w:p>
      <w:pPr>
        <w:adjustRightInd w:val="0"/>
        <w:snapToGrid w:val="0"/>
        <w:spacing w:line="600" w:lineRule="exact"/>
        <w:ind w:firstLine="640" w:firstLineChars="200"/>
        <w:rPr>
          <w:rFonts w:hint="eastAsia" w:ascii="仿宋_GB2312" w:eastAsia="仿宋_GB2312" w:cs="Wingdings"/>
          <w:sz w:val="32"/>
          <w:szCs w:val="32"/>
          <w:lang w:eastAsia="zh-CN"/>
        </w:rPr>
      </w:pPr>
    </w:p>
    <w:p>
      <w:pPr>
        <w:adjustRightInd w:val="0"/>
        <w:snapToGrid w:val="0"/>
        <w:spacing w:line="600" w:lineRule="exact"/>
        <w:ind w:firstLine="640" w:firstLineChars="200"/>
        <w:rPr>
          <w:rFonts w:hint="eastAsia" w:ascii="仿宋_GB2312" w:eastAsia="仿宋_GB2312" w:cs="Wingdings"/>
          <w:sz w:val="32"/>
          <w:szCs w:val="32"/>
          <w:lang w:eastAsia="zh-CN"/>
        </w:rPr>
      </w:pPr>
    </w:p>
    <w:p>
      <w:pPr>
        <w:keepNext w:val="0"/>
        <w:keepLines w:val="0"/>
        <w:pageBreakBefore w:val="0"/>
        <w:widowControl w:val="0"/>
        <w:kinsoku/>
        <w:wordWrap/>
        <w:overflowPunct/>
        <w:topLinePunct w:val="0"/>
        <w:bidi w:val="0"/>
        <w:spacing w:line="560" w:lineRule="exact"/>
        <w:ind w:firstLine="480" w:firstLineChars="200"/>
        <w:jc w:val="center"/>
        <w:textAlignment w:val="auto"/>
        <w:rPr>
          <w:rFonts w:ascii="仿宋" w:eastAsia="仿宋"/>
          <w:sz w:val="24"/>
          <w:szCs w:val="24"/>
          <w:lang w:val="en-US" w:eastAsia="zh-CN"/>
        </w:rPr>
      </w:pPr>
      <w:r>
        <w:rPr>
          <w:rFonts w:hint="eastAsia" w:ascii="仿宋" w:eastAsia="仿宋"/>
          <w:sz w:val="24"/>
          <w:szCs w:val="24"/>
          <w:lang w:val="en-US" w:eastAsia="zh-CN"/>
        </w:rPr>
        <w:t>图3</w:t>
      </w:r>
    </w:p>
    <w:p>
      <w:pPr>
        <w:adjustRightInd w:val="0"/>
        <w:snapToGrid w:val="0"/>
        <w:spacing w:line="600" w:lineRule="exact"/>
        <w:ind w:firstLine="640" w:firstLineChars="200"/>
        <w:rPr>
          <w:rFonts w:ascii="仿宋_GB2312" w:eastAsia="仿宋_GB2312" w:cs="Wingdings"/>
          <w:sz w:val="32"/>
          <w:szCs w:val="32"/>
          <w:lang w:val="en-US" w:eastAsia="zh-CN"/>
        </w:rPr>
      </w:pPr>
    </w:p>
    <w:p>
      <w:pPr>
        <w:snapToGrid w:val="0"/>
        <w:spacing w:line="600" w:lineRule="exact"/>
        <w:ind w:firstLine="643" w:firstLineChars="200"/>
        <w:rPr>
          <w:rFonts w:hint="eastAsia" w:ascii="楷体_GB2312" w:eastAsia="楷体_GB2312" w:cs="Mongolian Baiti"/>
          <w:b/>
          <w:bCs/>
          <w:sz w:val="32"/>
          <w:szCs w:val="32"/>
        </w:rPr>
      </w:pPr>
    </w:p>
    <w:p>
      <w:pPr>
        <w:snapToGrid w:val="0"/>
        <w:spacing w:line="600" w:lineRule="exact"/>
        <w:ind w:firstLine="643" w:firstLineChars="200"/>
        <w:rPr>
          <w:rFonts w:ascii="仿宋_GB2312" w:eastAsia="仿宋_GB2312" w:cs="Wingdings"/>
          <w:sz w:val="32"/>
          <w:szCs w:val="32"/>
        </w:rPr>
      </w:pPr>
      <w:r>
        <w:rPr>
          <w:rFonts w:hint="eastAsia" w:ascii="楷体_GB2312" w:eastAsia="楷体_GB2312" w:cs="Mongolian Baiti"/>
          <w:b/>
          <w:bCs/>
          <w:sz w:val="32"/>
          <w:szCs w:val="32"/>
        </w:rPr>
        <w:t>（二）财政拨款收支与年初预算数对比情况</w:t>
      </w:r>
    </w:p>
    <w:p>
      <w:pPr>
        <w:adjustRightInd w:val="0"/>
        <w:snapToGrid w:val="0"/>
        <w:spacing w:line="600" w:lineRule="exact"/>
        <w:ind w:firstLine="640" w:firstLineChars="200"/>
        <w:rPr>
          <w:rFonts w:hint="eastAsia" w:ascii="仿宋_GB2312" w:eastAsia="仿宋_GB2312" w:cs="Wingdings"/>
          <w:sz w:val="32"/>
          <w:szCs w:val="32"/>
        </w:rPr>
      </w:pPr>
      <w:r>
        <w:rPr>
          <w:rFonts w:hint="eastAsia" w:ascii="仿宋_GB2312" w:eastAsia="仿宋_GB2312" w:cs="Wingdings"/>
          <w:sz w:val="32"/>
          <w:szCs w:val="32"/>
        </w:rPr>
        <w:t>本部门2020年度一般公共预算财政拨款收入</w:t>
      </w:r>
      <w:r>
        <w:rPr>
          <w:rFonts w:hint="eastAsia" w:ascii="仿宋_GB2312" w:eastAsia="仿宋_GB2312" w:cs="Wingdings"/>
          <w:sz w:val="32"/>
          <w:szCs w:val="32"/>
          <w:lang w:val="en-US" w:eastAsia="zh-CN"/>
        </w:rPr>
        <w:t>1441.97</w:t>
      </w:r>
      <w:r>
        <w:rPr>
          <w:rFonts w:hint="eastAsia" w:ascii="仿宋_GB2312" w:eastAsia="仿宋_GB2312" w:cs="Wingdings"/>
          <w:sz w:val="32"/>
          <w:szCs w:val="32"/>
        </w:rPr>
        <w:t>万元，完成年初预算的</w:t>
      </w:r>
      <w:r>
        <w:rPr>
          <w:rFonts w:hint="eastAsia" w:ascii="仿宋_GB2312" w:eastAsia="仿宋_GB2312" w:cs="Wingdings"/>
          <w:sz w:val="32"/>
          <w:szCs w:val="32"/>
          <w:lang w:val="en-US" w:eastAsia="zh-CN"/>
        </w:rPr>
        <w:t>105.73</w:t>
      </w:r>
      <w:r>
        <w:rPr>
          <w:rFonts w:hint="eastAsia" w:ascii="仿宋_GB2312" w:eastAsia="仿宋_GB2312" w:cs="Wingdings"/>
          <w:sz w:val="32"/>
          <w:szCs w:val="32"/>
        </w:rPr>
        <w:t>%,比年初预算增加</w:t>
      </w:r>
      <w:r>
        <w:rPr>
          <w:rFonts w:hint="eastAsia" w:ascii="仿宋_GB2312" w:eastAsia="仿宋_GB2312" w:cs="Wingdings"/>
          <w:sz w:val="32"/>
          <w:szCs w:val="32"/>
          <w:lang w:val="en-US" w:eastAsia="zh-CN"/>
        </w:rPr>
        <w:t>78.19</w:t>
      </w:r>
      <w:r>
        <w:rPr>
          <w:rFonts w:hint="eastAsia" w:ascii="仿宋_GB2312" w:eastAsia="仿宋_GB2312" w:cs="Wingdings"/>
          <w:sz w:val="32"/>
          <w:szCs w:val="32"/>
        </w:rPr>
        <w:t>万元，决算数大于预算数主要原因是</w:t>
      </w:r>
      <w:r>
        <w:rPr>
          <w:rFonts w:hint="eastAsia" w:ascii="仿宋_GB2312" w:eastAsia="仿宋_GB2312" w:cs="Wingdings"/>
          <w:sz w:val="32"/>
          <w:szCs w:val="32"/>
          <w:lang w:eastAsia="zh-CN"/>
        </w:rPr>
        <w:t>人员增加、工资调整</w:t>
      </w:r>
      <w:r>
        <w:rPr>
          <w:rFonts w:hint="eastAsia" w:ascii="仿宋_GB2312" w:eastAsia="仿宋_GB2312" w:cs="Wingdings"/>
          <w:sz w:val="32"/>
          <w:szCs w:val="32"/>
        </w:rPr>
        <w:t>；本年支出</w:t>
      </w:r>
      <w:r>
        <w:rPr>
          <w:rFonts w:hint="eastAsia" w:ascii="仿宋_GB2312" w:eastAsia="仿宋_GB2312" w:cs="Wingdings"/>
          <w:sz w:val="32"/>
          <w:szCs w:val="32"/>
          <w:lang w:val="en-US" w:eastAsia="zh-CN"/>
        </w:rPr>
        <w:t>1447.99</w:t>
      </w:r>
      <w:r>
        <w:rPr>
          <w:rFonts w:hint="eastAsia" w:ascii="仿宋_GB2312" w:eastAsia="仿宋_GB2312" w:cs="Wingdings"/>
          <w:sz w:val="32"/>
          <w:szCs w:val="32"/>
        </w:rPr>
        <w:t>万元，完成年初预算的</w:t>
      </w:r>
      <w:r>
        <w:rPr>
          <w:rFonts w:hint="eastAsia" w:ascii="仿宋_GB2312" w:eastAsia="仿宋_GB2312" w:cs="Wingdings"/>
          <w:sz w:val="32"/>
          <w:szCs w:val="32"/>
          <w:lang w:val="en-US" w:eastAsia="zh-CN"/>
        </w:rPr>
        <w:t>106.17</w:t>
      </w:r>
      <w:r>
        <w:rPr>
          <w:rFonts w:hint="eastAsia" w:ascii="仿宋_GB2312" w:eastAsia="仿宋_GB2312" w:cs="Wingdings"/>
          <w:sz w:val="32"/>
          <w:szCs w:val="32"/>
        </w:rPr>
        <w:t>%,比年初预算增加</w:t>
      </w:r>
      <w:r>
        <w:rPr>
          <w:rFonts w:hint="eastAsia" w:ascii="仿宋_GB2312" w:eastAsia="仿宋_GB2312" w:cs="Wingdings"/>
          <w:sz w:val="32"/>
          <w:szCs w:val="32"/>
          <w:lang w:val="en-US" w:eastAsia="zh-CN"/>
        </w:rPr>
        <w:t>84.21</w:t>
      </w:r>
      <w:r>
        <w:rPr>
          <w:rFonts w:hint="eastAsia" w:ascii="仿宋_GB2312" w:eastAsia="仿宋_GB2312" w:cs="Wingdings"/>
          <w:sz w:val="32"/>
          <w:szCs w:val="32"/>
        </w:rPr>
        <w:t>万元，决算数大于预算数主要原因是主要是</w:t>
      </w:r>
      <w:r>
        <w:rPr>
          <w:rFonts w:hint="eastAsia" w:ascii="仿宋_GB2312" w:eastAsia="仿宋_GB2312" w:cs="Wingdings"/>
          <w:sz w:val="32"/>
          <w:szCs w:val="32"/>
          <w:lang w:eastAsia="zh-CN"/>
        </w:rPr>
        <w:t>人员增加、工资调整</w:t>
      </w:r>
      <w:r>
        <w:rPr>
          <w:rFonts w:hint="eastAsia" w:ascii="仿宋_GB2312" w:eastAsia="仿宋_GB2312" w:cs="Wingdings"/>
          <w:sz w:val="32"/>
          <w:szCs w:val="32"/>
        </w:rPr>
        <w:t>。</w:t>
      </w:r>
    </w:p>
    <w:p>
      <w:pPr>
        <w:adjustRightInd w:val="0"/>
        <w:snapToGrid w:val="0"/>
        <w:spacing w:line="600" w:lineRule="exact"/>
        <w:ind w:firstLine="420" w:firstLineChars="200"/>
        <w:rPr>
          <w:rFonts w:ascii="仿宋_GB2312" w:eastAsia="仿宋_GB2312" w:cs="Wingdings"/>
          <w:sz w:val="32"/>
          <w:szCs w:val="32"/>
          <w:lang w:val="en-US" w:eastAsia="zh-CN"/>
        </w:rPr>
      </w:pPr>
      <w:r>
        <w:drawing>
          <wp:anchor distT="0" distB="0" distL="114300" distR="114300" simplePos="0" relativeHeight="251659264" behindDoc="0" locked="0" layoutInCell="1" allowOverlap="1">
            <wp:simplePos x="0" y="0"/>
            <wp:positionH relativeFrom="column">
              <wp:posOffset>1244600</wp:posOffset>
            </wp:positionH>
            <wp:positionV relativeFrom="paragraph">
              <wp:posOffset>97155</wp:posOffset>
            </wp:positionV>
            <wp:extent cx="4000500" cy="2392680"/>
            <wp:effectExtent l="0" t="0" r="34" b="37"/>
            <wp:wrapSquare wrapText="bothSides"/>
            <wp:docPr id="2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_GB2312" w:eastAsia="仿宋_GB2312" w:cs="Wingdings"/>
          <w:sz w:val="32"/>
          <w:szCs w:val="32"/>
          <w:lang w:val="en-US" w:eastAsia="zh-CN"/>
        </w:rPr>
        <w:t xml:space="preserve">          </w:t>
      </w:r>
    </w:p>
    <w:p>
      <w:pPr>
        <w:adjustRightInd w:val="0"/>
        <w:snapToGrid w:val="0"/>
        <w:spacing w:line="600" w:lineRule="exact"/>
        <w:ind w:firstLine="640" w:firstLineChars="200"/>
        <w:rPr>
          <w:rFonts w:hint="eastAsia" w:ascii="仿宋_GB2312" w:eastAsia="仿宋_GB2312" w:cs="Wingdings"/>
          <w:sz w:val="32"/>
          <w:szCs w:val="32"/>
        </w:rPr>
      </w:pPr>
    </w:p>
    <w:p>
      <w:pPr>
        <w:adjustRightInd w:val="0"/>
        <w:snapToGrid w:val="0"/>
        <w:spacing w:line="600" w:lineRule="exact"/>
        <w:ind w:firstLine="640" w:firstLineChars="200"/>
        <w:rPr>
          <w:rFonts w:hint="eastAsia" w:ascii="仿宋_GB2312" w:eastAsia="仿宋_GB2312" w:cs="Wingdings"/>
          <w:sz w:val="32"/>
          <w:szCs w:val="32"/>
        </w:rPr>
      </w:pPr>
    </w:p>
    <w:p>
      <w:pPr>
        <w:adjustRightInd w:val="0"/>
        <w:snapToGrid w:val="0"/>
        <w:spacing w:line="600" w:lineRule="exact"/>
        <w:ind w:firstLine="640" w:firstLineChars="200"/>
        <w:rPr>
          <w:rFonts w:hint="eastAsia" w:ascii="仿宋_GB2312" w:eastAsia="仿宋_GB2312" w:cs="Wingdings"/>
          <w:sz w:val="32"/>
          <w:szCs w:val="32"/>
        </w:rPr>
      </w:pPr>
    </w:p>
    <w:p>
      <w:pPr>
        <w:adjustRightInd w:val="0"/>
        <w:snapToGrid w:val="0"/>
        <w:spacing w:line="600" w:lineRule="exact"/>
        <w:rPr>
          <w:rFonts w:ascii="仿宋_GB2312" w:eastAsia="仿宋_GB2312" w:cs="Wingdings"/>
          <w:sz w:val="32"/>
          <w:szCs w:val="32"/>
          <w:lang w:val="en-US" w:eastAsia="zh-CN"/>
        </w:rPr>
      </w:pPr>
      <w:r>
        <w:rPr>
          <w:rFonts w:hint="eastAsia" w:ascii="仿宋_GB2312" w:eastAsia="仿宋_GB2312" w:cs="Wingdings"/>
          <w:sz w:val="32"/>
          <w:szCs w:val="32"/>
          <w:lang w:val="en-US" w:eastAsia="zh-CN"/>
        </w:rPr>
        <w:t xml:space="preserve">  图4</w:t>
      </w:r>
    </w:p>
    <w:p>
      <w:pPr>
        <w:adjustRightInd w:val="0"/>
        <w:snapToGrid w:val="0"/>
        <w:spacing w:line="600" w:lineRule="exact"/>
        <w:ind w:firstLine="640" w:firstLineChars="200"/>
        <w:rPr>
          <w:rFonts w:hint="eastAsia" w:ascii="仿宋_GB2312" w:eastAsia="仿宋_GB2312" w:cs="Wingdings"/>
          <w:sz w:val="32"/>
          <w:szCs w:val="32"/>
        </w:rPr>
      </w:pPr>
    </w:p>
    <w:p>
      <w:pPr>
        <w:adjustRightInd w:val="0"/>
        <w:snapToGrid w:val="0"/>
        <w:spacing w:line="600" w:lineRule="exact"/>
        <w:ind w:firstLine="640" w:firstLineChars="200"/>
        <w:rPr>
          <w:rFonts w:hint="eastAsia" w:ascii="仿宋_GB2312" w:eastAsia="仿宋_GB2312" w:cs="Wingdings"/>
          <w:sz w:val="32"/>
          <w:szCs w:val="32"/>
        </w:rPr>
      </w:pPr>
    </w:p>
    <w:p>
      <w:pPr>
        <w:numPr>
          <w:ilvl w:val="0"/>
          <w:numId w:val="1"/>
        </w:numPr>
        <w:adjustRightInd w:val="0"/>
        <w:snapToGrid w:val="0"/>
        <w:spacing w:line="600" w:lineRule="exact"/>
        <w:ind w:left="420" w:leftChars="200"/>
        <w:rPr>
          <w:rFonts w:ascii="楷体_GB2312" w:eastAsia="楷体_GB2312" w:cs="Mongolian Baiti"/>
          <w:b/>
          <w:bCs/>
          <w:sz w:val="32"/>
          <w:szCs w:val="32"/>
        </w:rPr>
      </w:pPr>
      <w:r>
        <w:rPr>
          <w:rFonts w:hint="eastAsia" w:ascii="楷体_GB2312" w:eastAsia="楷体_GB2312" w:cs="Mongolian Baiti"/>
          <w:b/>
          <w:bCs/>
          <w:sz w:val="32"/>
          <w:szCs w:val="32"/>
        </w:rPr>
        <w:t>财政拨款支出决算结构情况。</w:t>
      </w:r>
    </w:p>
    <w:p>
      <w:pPr>
        <w:adjustRightInd w:val="0"/>
        <w:snapToGrid w:val="0"/>
        <w:spacing w:line="600" w:lineRule="exact"/>
        <w:ind w:firstLine="640" w:firstLineChars="200"/>
        <w:rPr>
          <w:rFonts w:ascii="仿宋_GB2312" w:eastAsia="仿宋_GB2312" w:cs="Wingdings"/>
          <w:sz w:val="32"/>
          <w:szCs w:val="32"/>
        </w:rPr>
      </w:pPr>
      <w:r>
        <w:rPr>
          <w:rFonts w:hint="eastAsia" w:ascii="仿宋_GB2312" w:eastAsia="仿宋_GB2312" w:cs="Wingdings"/>
          <w:sz w:val="32"/>
          <w:szCs w:val="32"/>
        </w:rPr>
        <w:t>2020 年度财政拨款支出</w:t>
      </w:r>
      <w:r>
        <w:rPr>
          <w:rFonts w:hint="eastAsia" w:ascii="仿宋_GB2312" w:eastAsia="仿宋_GB2312" w:cs="Wingdings"/>
          <w:sz w:val="32"/>
          <w:szCs w:val="32"/>
          <w:lang w:val="en-US" w:eastAsia="zh-CN"/>
        </w:rPr>
        <w:t>1447.99</w:t>
      </w:r>
      <w:r>
        <w:rPr>
          <w:rFonts w:hint="eastAsia" w:ascii="仿宋_GB2312" w:eastAsia="仿宋_GB2312" w:cs="Wingdings"/>
          <w:sz w:val="32"/>
          <w:szCs w:val="32"/>
        </w:rPr>
        <w:t>万元，主要用于以下方面：一般公共服务（类）支出</w:t>
      </w:r>
      <w:r>
        <w:rPr>
          <w:rFonts w:hint="eastAsia" w:ascii="仿宋_GB2312" w:eastAsia="仿宋_GB2312" w:cs="Wingdings"/>
          <w:sz w:val="32"/>
          <w:szCs w:val="32"/>
          <w:lang w:val="en-US" w:eastAsia="zh-CN"/>
        </w:rPr>
        <w:t>1233.52</w:t>
      </w:r>
      <w:r>
        <w:rPr>
          <w:rFonts w:hint="eastAsia" w:ascii="仿宋_GB2312" w:eastAsia="仿宋_GB2312" w:cs="Wingdings"/>
          <w:sz w:val="32"/>
          <w:szCs w:val="32"/>
        </w:rPr>
        <w:t>万元，占</w:t>
      </w:r>
      <w:r>
        <w:rPr>
          <w:rFonts w:hint="eastAsia" w:ascii="仿宋_GB2312" w:eastAsia="仿宋_GB2312" w:cs="Wingdings"/>
          <w:sz w:val="32"/>
          <w:szCs w:val="32"/>
          <w:lang w:val="en-US" w:eastAsia="zh-CN"/>
        </w:rPr>
        <w:t>85.19</w:t>
      </w:r>
      <w:r>
        <w:rPr>
          <w:rFonts w:hint="eastAsia" w:ascii="仿宋_GB2312" w:eastAsia="仿宋_GB2312" w:cs="Wingdings"/>
          <w:sz w:val="32"/>
          <w:szCs w:val="32"/>
        </w:rPr>
        <w:t>%，；公共安全类（类）支出</w:t>
      </w:r>
      <w:r>
        <w:rPr>
          <w:rFonts w:hint="eastAsia" w:ascii="仿宋_GB2312" w:eastAsia="仿宋_GB2312" w:cs="Wingdings"/>
          <w:sz w:val="32"/>
          <w:szCs w:val="32"/>
          <w:lang w:val="en-US" w:eastAsia="zh-CN"/>
        </w:rPr>
        <w:t>0</w:t>
      </w:r>
      <w:r>
        <w:rPr>
          <w:rFonts w:hint="eastAsia" w:ascii="仿宋_GB2312" w:eastAsia="仿宋_GB2312" w:cs="Wingdings"/>
          <w:sz w:val="32"/>
          <w:szCs w:val="32"/>
        </w:rPr>
        <w:t>万元，占</w:t>
      </w:r>
      <w:r>
        <w:rPr>
          <w:rFonts w:hint="eastAsia" w:ascii="仿宋_GB2312" w:eastAsia="仿宋_GB2312" w:cs="Wingdings"/>
          <w:sz w:val="32"/>
          <w:szCs w:val="32"/>
          <w:lang w:val="en-US" w:eastAsia="zh-CN"/>
        </w:rPr>
        <w:t>0</w:t>
      </w:r>
      <w:r>
        <w:rPr>
          <w:rFonts w:hint="eastAsia" w:ascii="仿宋_GB2312" w:eastAsia="仿宋_GB2312" w:cs="Wingdings"/>
          <w:sz w:val="32"/>
          <w:szCs w:val="32"/>
        </w:rPr>
        <w:t>%；教育（类）支出</w:t>
      </w:r>
      <w:r>
        <w:rPr>
          <w:rFonts w:hint="eastAsia" w:ascii="仿宋_GB2312" w:eastAsia="仿宋_GB2312" w:cs="Wingdings"/>
          <w:sz w:val="32"/>
          <w:szCs w:val="32"/>
          <w:lang w:val="en-US" w:eastAsia="zh-CN"/>
        </w:rPr>
        <w:t>0</w:t>
      </w:r>
      <w:r>
        <w:rPr>
          <w:rFonts w:hint="eastAsia" w:ascii="仿宋_GB2312" w:eastAsia="仿宋_GB2312" w:cs="Wingdings"/>
          <w:sz w:val="32"/>
          <w:szCs w:val="32"/>
        </w:rPr>
        <w:t>万元，占</w:t>
      </w:r>
      <w:r>
        <w:rPr>
          <w:rFonts w:hint="eastAsia" w:ascii="仿宋_GB2312" w:eastAsia="仿宋_GB2312" w:cs="Wingdings"/>
          <w:sz w:val="32"/>
          <w:szCs w:val="32"/>
          <w:lang w:val="en-US" w:eastAsia="zh-CN"/>
        </w:rPr>
        <w:t>0</w:t>
      </w:r>
      <w:r>
        <w:rPr>
          <w:rFonts w:hint="eastAsia" w:ascii="仿宋_GB2312" w:eastAsia="仿宋_GB2312" w:cs="Wingdings"/>
          <w:sz w:val="32"/>
          <w:szCs w:val="32"/>
        </w:rPr>
        <w:t>%；科学技术（类）支出</w:t>
      </w:r>
      <w:r>
        <w:rPr>
          <w:rFonts w:hint="eastAsia" w:ascii="仿宋_GB2312" w:eastAsia="仿宋_GB2312" w:cs="Wingdings"/>
          <w:sz w:val="32"/>
          <w:szCs w:val="32"/>
          <w:lang w:val="en-US" w:eastAsia="zh-CN"/>
        </w:rPr>
        <w:t>0</w:t>
      </w:r>
      <w:r>
        <w:rPr>
          <w:rFonts w:hint="eastAsia" w:ascii="仿宋_GB2312" w:eastAsia="仿宋_GB2312" w:cs="Wingdings"/>
          <w:sz w:val="32"/>
          <w:szCs w:val="32"/>
        </w:rPr>
        <w:t xml:space="preserve">万元，占 </w:t>
      </w:r>
      <w:r>
        <w:rPr>
          <w:rFonts w:hint="eastAsia" w:ascii="仿宋_GB2312" w:eastAsia="仿宋_GB2312" w:cs="Wingdings"/>
          <w:sz w:val="32"/>
          <w:szCs w:val="32"/>
          <w:lang w:val="en-US" w:eastAsia="zh-CN"/>
        </w:rPr>
        <w:t>0</w:t>
      </w:r>
      <w:r>
        <w:rPr>
          <w:rFonts w:hint="eastAsia" w:ascii="仿宋_GB2312" w:eastAsia="仿宋_GB2312" w:cs="Wingdings"/>
          <w:sz w:val="32"/>
          <w:szCs w:val="32"/>
        </w:rPr>
        <w:t>%；社会保障和就业（类）支出</w:t>
      </w:r>
      <w:r>
        <w:rPr>
          <w:rFonts w:hint="eastAsia" w:ascii="仿宋_GB2312" w:eastAsia="仿宋_GB2312" w:cs="Wingdings"/>
          <w:sz w:val="32"/>
          <w:szCs w:val="32"/>
          <w:lang w:val="en-US" w:eastAsia="zh-CN"/>
        </w:rPr>
        <w:t>80.24</w:t>
      </w:r>
      <w:r>
        <w:rPr>
          <w:rFonts w:hint="eastAsia" w:ascii="仿宋_GB2312" w:eastAsia="仿宋_GB2312" w:cs="Wingdings"/>
          <w:sz w:val="32"/>
          <w:szCs w:val="32"/>
        </w:rPr>
        <w:t>万元，占</w:t>
      </w:r>
      <w:r>
        <w:rPr>
          <w:rFonts w:hint="eastAsia" w:ascii="仿宋_GB2312" w:eastAsia="仿宋_GB2312" w:cs="Wingdings"/>
          <w:sz w:val="32"/>
          <w:szCs w:val="32"/>
          <w:lang w:val="en-US" w:eastAsia="zh-CN"/>
        </w:rPr>
        <w:t>5.54</w:t>
      </w:r>
      <w:r>
        <w:rPr>
          <w:rFonts w:hint="eastAsia" w:ascii="仿宋_GB2312" w:eastAsia="仿宋_GB2312" w:cs="Wingdings"/>
          <w:sz w:val="32"/>
          <w:szCs w:val="32"/>
        </w:rPr>
        <w:t>%；住房保障（类）支出</w:t>
      </w:r>
      <w:r>
        <w:rPr>
          <w:rFonts w:hint="eastAsia" w:ascii="仿宋_GB2312" w:eastAsia="仿宋_GB2312" w:cs="Wingdings"/>
          <w:sz w:val="32"/>
          <w:szCs w:val="32"/>
          <w:lang w:val="en-US" w:eastAsia="zh-CN"/>
        </w:rPr>
        <w:t>60.23</w:t>
      </w:r>
      <w:r>
        <w:rPr>
          <w:rFonts w:hint="eastAsia" w:ascii="仿宋_GB2312" w:eastAsia="仿宋_GB2312" w:cs="Wingdings"/>
          <w:sz w:val="32"/>
          <w:szCs w:val="32"/>
        </w:rPr>
        <w:t xml:space="preserve">万元，占 </w:t>
      </w:r>
      <w:r>
        <w:rPr>
          <w:rFonts w:hint="eastAsia" w:ascii="仿宋_GB2312" w:eastAsia="仿宋_GB2312" w:cs="Wingdings"/>
          <w:sz w:val="32"/>
          <w:szCs w:val="32"/>
          <w:lang w:val="en-US" w:eastAsia="zh-CN"/>
        </w:rPr>
        <w:t>4.16</w:t>
      </w:r>
      <w:r>
        <w:rPr>
          <w:rFonts w:hint="eastAsia" w:ascii="仿宋_GB2312" w:eastAsia="仿宋_GB2312" w:cs="Wingdings"/>
          <w:sz w:val="32"/>
          <w:szCs w:val="32"/>
        </w:rPr>
        <w:t>%;</w:t>
      </w:r>
      <w:r>
        <w:rPr>
          <w:rFonts w:hint="eastAsia" w:ascii="仿宋_GB2312" w:eastAsia="仿宋_GB2312" w:cs="Wingdings"/>
          <w:sz w:val="32"/>
          <w:szCs w:val="32"/>
          <w:lang w:eastAsia="zh-CN"/>
        </w:rPr>
        <w:t>卫生健康支出</w:t>
      </w:r>
      <w:r>
        <w:rPr>
          <w:rFonts w:hint="eastAsia" w:ascii="仿宋_GB2312" w:eastAsia="仿宋_GB2312" w:cs="Wingdings"/>
          <w:sz w:val="32"/>
          <w:szCs w:val="32"/>
          <w:lang w:val="en-US" w:eastAsia="zh-CN"/>
        </w:rPr>
        <w:t>74万元，占</w:t>
      </w:r>
      <w:r>
        <w:rPr>
          <w:rFonts w:hint="eastAsia" w:ascii="仿宋_GB2312" w:eastAsia="仿宋_GB2312" w:cs="Wingdings"/>
          <w:sz w:val="32"/>
          <w:szCs w:val="32"/>
        </w:rPr>
        <w:t xml:space="preserve"> </w:t>
      </w:r>
      <w:r>
        <w:rPr>
          <w:rFonts w:hint="eastAsia" w:ascii="仿宋_GB2312" w:eastAsia="仿宋_GB2312" w:cs="Wingdings"/>
          <w:sz w:val="32"/>
          <w:szCs w:val="32"/>
          <w:lang w:val="en-US" w:eastAsia="zh-CN"/>
        </w:rPr>
        <w:t>5.11</w:t>
      </w:r>
      <w:r>
        <w:rPr>
          <w:rFonts w:hint="eastAsia" w:ascii="仿宋_GB2312" w:eastAsia="仿宋_GB2312" w:cs="Wingdings"/>
          <w:sz w:val="32"/>
          <w:szCs w:val="32"/>
        </w:rPr>
        <w:t>%。</w:t>
      </w:r>
    </w:p>
    <w:p>
      <w:pPr>
        <w:adjustRightInd w:val="0"/>
        <w:snapToGrid w:val="0"/>
        <w:spacing w:line="600" w:lineRule="exact"/>
        <w:rPr>
          <w:rFonts w:ascii="楷体_GB2312" w:eastAsia="楷体_GB2312" w:cs="Mongolian Baiti"/>
          <w:b/>
          <w:bCs/>
          <w:sz w:val="32"/>
          <w:szCs w:val="32"/>
        </w:rPr>
      </w:pPr>
      <w:r>
        <w:drawing>
          <wp:anchor distT="0" distB="0" distL="114300" distR="114300" simplePos="0" relativeHeight="251659264" behindDoc="0" locked="0" layoutInCell="1" allowOverlap="1">
            <wp:simplePos x="0" y="0"/>
            <wp:positionH relativeFrom="column">
              <wp:posOffset>269875</wp:posOffset>
            </wp:positionH>
            <wp:positionV relativeFrom="paragraph">
              <wp:posOffset>100965</wp:posOffset>
            </wp:positionV>
            <wp:extent cx="5100955" cy="3953510"/>
            <wp:effectExtent l="0" t="0" r="15" b="28"/>
            <wp:wrapSquare wrapText="bothSides"/>
            <wp:docPr id="2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adjustRightInd w:val="0"/>
        <w:snapToGrid w:val="0"/>
        <w:spacing w:after="160" w:line="560" w:lineRule="exact"/>
        <w:jc w:val="center"/>
        <w:rPr>
          <w:rFonts w:hint="eastAsia" w:ascii="楷体_GB2312" w:eastAsia="楷体_GB2312" w:cs="Mongolian Baiti"/>
          <w:b/>
          <w:bCs/>
          <w:sz w:val="32"/>
          <w:szCs w:val="32"/>
        </w:rPr>
      </w:pPr>
      <w:r>
        <w:rPr>
          <w:rFonts w:hint="eastAsia" w:ascii="仿宋_GB2312" w:eastAsia="仿宋_GB2312" w:cs="Wingdings"/>
          <w:sz w:val="28"/>
          <w:szCs w:val="28"/>
        </w:rPr>
        <w:t>图</w:t>
      </w:r>
      <w:r>
        <w:rPr>
          <w:rFonts w:hint="eastAsia" w:ascii="仿宋_GB2312" w:eastAsia="仿宋_GB2312" w:cs="Wingdings"/>
          <w:sz w:val="28"/>
          <w:szCs w:val="28"/>
          <w:lang w:val="en-US" w:eastAsia="zh-CN"/>
        </w:rPr>
        <w:t>5</w:t>
      </w:r>
      <w:r>
        <w:rPr>
          <w:rFonts w:hint="eastAsia" w:ascii="仿宋_GB2312" w:eastAsia="仿宋_GB2312" w:cs="Wingdings"/>
          <w:sz w:val="28"/>
          <w:szCs w:val="28"/>
        </w:rPr>
        <w:t>：财政拨款支出决算结构（按功能分类）</w:t>
      </w:r>
    </w:p>
    <w:p>
      <w:pPr>
        <w:adjustRightInd w:val="0"/>
        <w:snapToGrid w:val="0"/>
        <w:spacing w:line="600" w:lineRule="exact"/>
        <w:ind w:left="420" w:leftChars="200"/>
        <w:rPr>
          <w:rFonts w:ascii="楷体_GB2312" w:eastAsia="楷体_GB2312" w:cs="Mongolian Baiti"/>
          <w:b/>
          <w:bCs/>
          <w:sz w:val="32"/>
          <w:szCs w:val="32"/>
        </w:rPr>
      </w:pPr>
      <w:r>
        <w:rPr>
          <w:rFonts w:hint="eastAsia" w:ascii="楷体_GB2312" w:eastAsia="楷体_GB2312" w:cs="Mongolian Baiti"/>
          <w:b/>
          <w:bCs/>
          <w:sz w:val="32"/>
          <w:szCs w:val="32"/>
        </w:rPr>
        <w:t>（四）一般公共预算基本支出决算情况说明</w:t>
      </w:r>
    </w:p>
    <w:p>
      <w:pPr>
        <w:adjustRightInd w:val="0"/>
        <w:snapToGrid w:val="0"/>
        <w:spacing w:line="600" w:lineRule="exact"/>
        <w:ind w:firstLine="640" w:firstLineChars="200"/>
        <w:rPr>
          <w:rFonts w:hint="eastAsia" w:ascii="仿宋_GB2312" w:eastAsia="仿宋_GB2312" w:cs="Wingdings"/>
          <w:sz w:val="32"/>
          <w:szCs w:val="32"/>
          <w:lang w:eastAsia="zh-CN"/>
        </w:rPr>
      </w:pPr>
      <w:r>
        <w:rPr>
          <w:rFonts w:hint="eastAsia" w:ascii="仿宋_GB2312" w:eastAsia="仿宋_GB2312" w:cs="Wingdings"/>
          <w:sz w:val="32"/>
          <w:szCs w:val="32"/>
        </w:rPr>
        <w:t>2020 年度财政拨款基本支出</w:t>
      </w:r>
      <w:r>
        <w:rPr>
          <w:rFonts w:hint="eastAsia" w:ascii="仿宋_GB2312" w:eastAsia="仿宋_GB2312" w:cs="Wingdings"/>
          <w:sz w:val="32"/>
          <w:szCs w:val="32"/>
          <w:lang w:val="en-US" w:eastAsia="zh-CN"/>
        </w:rPr>
        <w:t>1152.85</w:t>
      </w:r>
      <w:r>
        <w:rPr>
          <w:rFonts w:hint="eastAsia" w:ascii="仿宋_GB2312" w:eastAsia="仿宋_GB2312" w:cs="Wingdings"/>
          <w:sz w:val="32"/>
          <w:szCs w:val="32"/>
        </w:rPr>
        <w:t xml:space="preserve">万元，其中：人员经费 </w:t>
      </w:r>
      <w:r>
        <w:rPr>
          <w:rFonts w:hint="eastAsia" w:ascii="仿宋_GB2312" w:eastAsia="仿宋_GB2312" w:cs="Wingdings"/>
          <w:sz w:val="32"/>
          <w:szCs w:val="32"/>
          <w:lang w:val="en-US" w:eastAsia="zh-CN"/>
        </w:rPr>
        <w:t>999.43</w:t>
      </w:r>
      <w:r>
        <w:rPr>
          <w:rFonts w:hint="eastAsia" w:ascii="仿宋_GB2312" w:eastAsia="仿宋_GB2312" w:cs="Wingdings"/>
          <w:sz w:val="32"/>
          <w:szCs w:val="32"/>
        </w:rPr>
        <w:t xml:space="preserve">万元，主要包括基本工资、津贴补贴、奖金、绩效工资、机关事业单位基本养老保险缴费、职工基本医疗保险缴费、公务员医疗补助缴费、住房公积金、其他社会保障缴费、其他工资福利支出、退休费；公用经费 </w:t>
      </w:r>
      <w:r>
        <w:rPr>
          <w:rFonts w:hint="eastAsia" w:ascii="仿宋_GB2312" w:eastAsia="仿宋_GB2312" w:cs="Wingdings"/>
          <w:sz w:val="32"/>
          <w:szCs w:val="32"/>
          <w:lang w:val="en-US" w:eastAsia="zh-CN"/>
        </w:rPr>
        <w:t>153.42</w:t>
      </w:r>
      <w:r>
        <w:rPr>
          <w:rFonts w:hint="eastAsia" w:ascii="仿宋_GB2312" w:eastAsia="仿宋_GB2312" w:cs="Wingdings"/>
          <w:sz w:val="32"/>
          <w:szCs w:val="32"/>
        </w:rPr>
        <w:t>万元，主要包括办公费、印刷费</w:t>
      </w:r>
      <w:r>
        <w:rPr>
          <w:rFonts w:hint="eastAsia" w:ascii="仿宋_GB2312" w:eastAsia="仿宋_GB2312" w:cs="Wingdings"/>
          <w:sz w:val="32"/>
          <w:szCs w:val="32"/>
          <w:lang w:eastAsia="zh-CN"/>
        </w:rPr>
        <w:t>、</w:t>
      </w:r>
      <w:r>
        <w:rPr>
          <w:rFonts w:hint="eastAsia" w:ascii="仿宋_GB2312" w:eastAsia="仿宋_GB2312" w:cs="Wingdings"/>
          <w:sz w:val="32"/>
          <w:szCs w:val="32"/>
        </w:rPr>
        <w:t>电费、邮电费、取暖费、差旅费、会议费、培训费、劳务费、委托业务费、工会经费、福利费、公务用车运行维护费、其他交通费用、其他商品和服务支出</w:t>
      </w:r>
      <w:r>
        <w:rPr>
          <w:rFonts w:hint="eastAsia" w:ascii="仿宋_GB2312" w:eastAsia="仿宋_GB2312" w:cs="Wingdings"/>
          <w:sz w:val="32"/>
          <w:szCs w:val="32"/>
          <w:lang w:eastAsia="zh-CN"/>
        </w:rPr>
        <w:t>。</w:t>
      </w:r>
    </w:p>
    <w:p>
      <w:pPr>
        <w:keepNext/>
        <w:keepLines/>
        <w:widowControl w:val="0"/>
        <w:snapToGrid w:val="0"/>
        <w:spacing w:line="60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eastAsia="楷体_GB2312" w:cs="Mongolian Baiti"/>
          <w:b/>
          <w:bCs/>
          <w:sz w:val="32"/>
          <w:szCs w:val="32"/>
        </w:rPr>
      </w:pPr>
      <w:r>
        <w:rPr>
          <w:rFonts w:hint="eastAsia" w:ascii="楷体_GB2312"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ascii="仿宋_GB2312" w:eastAsia="仿宋_GB2312" w:cs="Wingdings"/>
          <w:sz w:val="32"/>
          <w:szCs w:val="32"/>
        </w:rPr>
      </w:pPr>
      <w:r>
        <w:rPr>
          <w:rFonts w:hint="eastAsia" w:ascii="仿宋_GB2312" w:eastAsia="仿宋_GB2312" w:cs="Wingdings"/>
          <w:sz w:val="32"/>
          <w:szCs w:val="32"/>
        </w:rPr>
        <w:t>本部门2020年度“三公”经费财政拨款支出预算为</w:t>
      </w:r>
      <w:r>
        <w:rPr>
          <w:rFonts w:hint="eastAsia" w:ascii="仿宋_GB2312" w:eastAsia="仿宋_GB2312" w:cs="Wingdings"/>
          <w:sz w:val="32"/>
          <w:szCs w:val="32"/>
          <w:lang w:val="en-US" w:eastAsia="zh-CN"/>
        </w:rPr>
        <w:t>46</w:t>
      </w:r>
      <w:r>
        <w:rPr>
          <w:rFonts w:hint="eastAsia" w:ascii="仿宋_GB2312" w:eastAsia="仿宋_GB2312" w:cs="Wingdings"/>
          <w:sz w:val="32"/>
          <w:szCs w:val="32"/>
        </w:rPr>
        <w:t>万元，支出决算为</w:t>
      </w:r>
      <w:r>
        <w:rPr>
          <w:rFonts w:hint="eastAsia" w:ascii="仿宋_GB2312" w:eastAsia="仿宋_GB2312" w:cs="Wingdings"/>
          <w:sz w:val="32"/>
          <w:szCs w:val="32"/>
          <w:lang w:val="en-US" w:eastAsia="zh-CN"/>
        </w:rPr>
        <w:t>29.88</w:t>
      </w:r>
      <w:r>
        <w:rPr>
          <w:rFonts w:hint="eastAsia" w:ascii="仿宋_GB2312" w:eastAsia="仿宋_GB2312" w:cs="Wingdings"/>
          <w:sz w:val="32"/>
          <w:szCs w:val="32"/>
        </w:rPr>
        <w:t>元，完成预算的</w:t>
      </w:r>
      <w:r>
        <w:rPr>
          <w:rFonts w:hint="eastAsia" w:ascii="仿宋_GB2312" w:eastAsia="仿宋_GB2312" w:cs="Wingdings"/>
          <w:sz w:val="32"/>
          <w:szCs w:val="32"/>
          <w:lang w:val="en-US" w:eastAsia="zh-CN"/>
        </w:rPr>
        <w:t>64.96</w:t>
      </w:r>
      <w:r>
        <w:rPr>
          <w:rFonts w:hint="eastAsia" w:ascii="仿宋_GB2312" w:eastAsia="仿宋_GB2312" w:cs="Wingdings"/>
          <w:sz w:val="32"/>
          <w:szCs w:val="32"/>
        </w:rPr>
        <w:t>%,较预算减少</w:t>
      </w:r>
      <w:r>
        <w:rPr>
          <w:rFonts w:hint="eastAsia" w:ascii="仿宋_GB2312" w:eastAsia="仿宋_GB2312" w:cs="Wingdings"/>
          <w:sz w:val="32"/>
          <w:szCs w:val="32"/>
          <w:lang w:val="en-US" w:eastAsia="zh-CN"/>
        </w:rPr>
        <w:t>16.12</w:t>
      </w:r>
      <w:r>
        <w:rPr>
          <w:rFonts w:hint="eastAsia" w:ascii="仿宋_GB2312" w:eastAsia="仿宋_GB2312" w:cs="Wingdings"/>
          <w:sz w:val="32"/>
          <w:szCs w:val="32"/>
        </w:rPr>
        <w:t>万元，降低</w:t>
      </w:r>
      <w:r>
        <w:rPr>
          <w:rFonts w:hint="eastAsia" w:ascii="仿宋_GB2312" w:eastAsia="仿宋_GB2312" w:cs="Wingdings"/>
          <w:sz w:val="32"/>
          <w:szCs w:val="32"/>
          <w:lang w:val="en-US" w:eastAsia="zh-CN"/>
        </w:rPr>
        <w:t>35.04</w:t>
      </w:r>
      <w:r>
        <w:rPr>
          <w:rFonts w:hint="eastAsia" w:ascii="仿宋_GB2312" w:eastAsia="仿宋_GB2312" w:cs="Wingdings"/>
          <w:sz w:val="32"/>
          <w:szCs w:val="32"/>
        </w:rPr>
        <w:t>%，主要是</w:t>
      </w:r>
      <w:r>
        <w:rPr>
          <w:rFonts w:hint="eastAsia" w:ascii="仿宋_GB2312" w:eastAsia="仿宋_GB2312" w:cs="Wingdings"/>
          <w:sz w:val="32"/>
          <w:szCs w:val="32"/>
          <w:lang w:eastAsia="zh-CN"/>
        </w:rPr>
        <w:t>公务用车运行费减少</w:t>
      </w:r>
      <w:r>
        <w:rPr>
          <w:rFonts w:hint="eastAsia" w:ascii="仿宋_GB2312" w:eastAsia="仿宋_GB2312" w:cs="Wingdings"/>
          <w:sz w:val="32"/>
          <w:szCs w:val="32"/>
        </w:rPr>
        <w:t>；较2019年度减少</w:t>
      </w:r>
      <w:r>
        <w:rPr>
          <w:rFonts w:hint="eastAsia" w:ascii="仿宋_GB2312" w:eastAsia="仿宋_GB2312" w:cs="Wingdings"/>
          <w:sz w:val="32"/>
          <w:szCs w:val="32"/>
          <w:lang w:val="en-US" w:eastAsia="zh-CN"/>
        </w:rPr>
        <w:t>21.85</w:t>
      </w:r>
      <w:r>
        <w:rPr>
          <w:rFonts w:hint="eastAsia" w:ascii="仿宋_GB2312" w:eastAsia="仿宋_GB2312" w:cs="Wingdings"/>
          <w:sz w:val="32"/>
          <w:szCs w:val="32"/>
        </w:rPr>
        <w:t>万元，降低</w:t>
      </w:r>
      <w:r>
        <w:rPr>
          <w:rFonts w:hint="eastAsia" w:ascii="仿宋_GB2312" w:eastAsia="仿宋_GB2312" w:cs="Wingdings"/>
          <w:sz w:val="32"/>
          <w:szCs w:val="32"/>
          <w:lang w:val="en-US" w:eastAsia="zh-CN"/>
        </w:rPr>
        <w:t>42.24</w:t>
      </w:r>
      <w:r>
        <w:rPr>
          <w:rFonts w:hint="eastAsia" w:ascii="仿宋_GB2312" w:eastAsia="仿宋_GB2312" w:cs="Wingdings"/>
          <w:sz w:val="32"/>
          <w:szCs w:val="32"/>
        </w:rPr>
        <w:t>%，主要是</w:t>
      </w:r>
      <w:r>
        <w:rPr>
          <w:rFonts w:hint="eastAsia" w:ascii="仿宋_GB2312" w:eastAsia="仿宋_GB2312" w:cs="Wingdings"/>
          <w:sz w:val="32"/>
          <w:szCs w:val="32"/>
          <w:lang w:eastAsia="zh-CN"/>
        </w:rPr>
        <w:t>公务用车运行费减少，节约支出</w:t>
      </w:r>
      <w:r>
        <w:rPr>
          <w:rFonts w:hint="eastAsia" w:ascii="仿宋_GB2312" w:eastAsia="仿宋_GB2312" w:cs="Wingdings"/>
          <w:sz w:val="32"/>
          <w:szCs w:val="32"/>
        </w:rPr>
        <w:t>。</w:t>
      </w:r>
    </w:p>
    <w:p>
      <w:pPr>
        <w:adjustRightInd w:val="0"/>
        <w:snapToGrid w:val="0"/>
        <w:spacing w:line="600" w:lineRule="exact"/>
        <w:ind w:firstLine="643" w:firstLineChars="200"/>
        <w:rPr>
          <w:rFonts w:ascii="楷体_GB2312" w:eastAsia="楷体_GB2312" w:cs="Mongolian Baiti"/>
          <w:b/>
          <w:bCs/>
          <w:sz w:val="32"/>
          <w:szCs w:val="32"/>
        </w:rPr>
      </w:pPr>
      <w:r>
        <w:rPr>
          <w:rFonts w:hint="eastAsia" w:ascii="楷体_GB2312"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ascii="仿宋_GB2312" w:eastAsia="仿宋_GB2312" w:cs="Wingdings"/>
          <w:sz w:val="32"/>
          <w:szCs w:val="32"/>
          <w:highlight w:val="none"/>
        </w:rPr>
      </w:pPr>
      <w:r>
        <w:rPr>
          <w:rFonts w:hint="eastAsia" w:ascii="楷体_GB2312" w:eastAsia="楷体_GB2312" w:cs="Mongolian Baiti"/>
          <w:b/>
          <w:bCs/>
          <w:sz w:val="32"/>
          <w:szCs w:val="32"/>
        </w:rPr>
        <w:t>1.因公出国（境）费</w:t>
      </w:r>
      <w:r>
        <w:rPr>
          <w:rFonts w:hint="eastAsia" w:ascii="楷体_GB2312" w:eastAsia="楷体_GB2312" w:cs="Mongolian Baiti"/>
          <w:b/>
          <w:bCs/>
          <w:sz w:val="32"/>
          <w:szCs w:val="32"/>
          <w:lang w:eastAsia="zh-CN"/>
        </w:rPr>
        <w:t>。</w:t>
      </w:r>
      <w:r>
        <w:rPr>
          <w:rFonts w:hint="eastAsia" w:ascii="仿宋_GB2312" w:eastAsia="仿宋_GB2312" w:cs="仿宋_GB2312"/>
          <w:b w:val="0"/>
          <w:bCs w:val="0"/>
          <w:sz w:val="32"/>
          <w:szCs w:val="32"/>
        </w:rPr>
        <w:t>本部门2020</w:t>
      </w:r>
      <w:r>
        <w:rPr>
          <w:rFonts w:hint="eastAsia" w:ascii="仿宋_GB2312" w:eastAsia="仿宋_GB2312" w:cs="仿宋_GB2312"/>
          <w:b w:val="0"/>
          <w:bCs w:val="0"/>
          <w:sz w:val="32"/>
          <w:szCs w:val="32"/>
          <w:lang w:val="en-US" w:eastAsia="zh-CN"/>
        </w:rPr>
        <w:t>年因公出国（境）费</w:t>
      </w:r>
      <w:r>
        <w:rPr>
          <w:rFonts w:hint="eastAsia" w:ascii="仿宋_GB2312" w:eastAsia="仿宋_GB2312" w:cs="仿宋_GB2312"/>
          <w:b w:val="0"/>
          <w:bCs w:val="0"/>
          <w:sz w:val="32"/>
          <w:szCs w:val="32"/>
        </w:rPr>
        <w:t>支出</w:t>
      </w:r>
      <w:r>
        <w:rPr>
          <w:rFonts w:hint="eastAsia" w:ascii="仿宋_GB2312" w:eastAsia="仿宋_GB2312" w:cs="仿宋_GB2312"/>
          <w:b w:val="0"/>
          <w:bCs w:val="0"/>
          <w:sz w:val="32"/>
          <w:szCs w:val="32"/>
          <w:lang w:val="en-US" w:eastAsia="zh-CN"/>
        </w:rPr>
        <w:t>0</w:t>
      </w:r>
      <w:r>
        <w:rPr>
          <w:rFonts w:hint="eastAsia" w:ascii="仿宋_GB2312" w:eastAsia="仿宋_GB2312" w:cs="仿宋_GB2312"/>
          <w:b w:val="0"/>
          <w:bCs w:val="0"/>
          <w:sz w:val="32"/>
          <w:szCs w:val="32"/>
        </w:rPr>
        <w:t>万元，完成预算的</w:t>
      </w:r>
      <w:r>
        <w:rPr>
          <w:rFonts w:hint="eastAsia" w:ascii="仿宋_GB2312" w:eastAsia="仿宋_GB2312" w:cs="仿宋_GB2312"/>
          <w:b w:val="0"/>
          <w:bCs w:val="0"/>
          <w:sz w:val="32"/>
          <w:szCs w:val="32"/>
          <w:lang w:val="en-US" w:eastAsia="zh-CN"/>
        </w:rPr>
        <w:t>0</w:t>
      </w:r>
      <w:r>
        <w:rPr>
          <w:rFonts w:hint="eastAsia" w:ascii="仿宋_GB2312" w:eastAsia="仿宋_GB2312" w:cs="仿宋_GB2312"/>
          <w:b w:val="0"/>
          <w:bCs w:val="0"/>
          <w:sz w:val="32"/>
          <w:szCs w:val="32"/>
        </w:rPr>
        <w:t>%。</w:t>
      </w:r>
      <w:r>
        <w:rPr>
          <w:rFonts w:hint="eastAsia" w:ascii="仿宋_GB2312" w:eastAsia="仿宋_GB2312" w:cs="Wingdings"/>
          <w:sz w:val="32"/>
          <w:szCs w:val="32"/>
        </w:rPr>
        <w:t>因公出国（境）团组</w:t>
      </w:r>
      <w:r>
        <w:rPr>
          <w:rFonts w:hint="eastAsia" w:ascii="仿宋_GB2312" w:eastAsia="仿宋_GB2312" w:cs="Wingdings"/>
          <w:sz w:val="32"/>
          <w:szCs w:val="32"/>
          <w:lang w:val="en-US" w:eastAsia="zh-CN"/>
        </w:rPr>
        <w:t>0</w:t>
      </w:r>
      <w:r>
        <w:rPr>
          <w:rFonts w:hint="eastAsia" w:ascii="仿宋_GB2312" w:eastAsia="仿宋_GB2312" w:cs="Wingdings"/>
          <w:sz w:val="32"/>
          <w:szCs w:val="32"/>
        </w:rPr>
        <w:t>个、共</w:t>
      </w:r>
      <w:r>
        <w:rPr>
          <w:rFonts w:hint="eastAsia" w:ascii="仿宋_GB2312" w:eastAsia="仿宋_GB2312" w:cs="Wingdings"/>
          <w:sz w:val="32"/>
          <w:szCs w:val="32"/>
          <w:lang w:val="en-US" w:eastAsia="zh-CN"/>
        </w:rPr>
        <w:t>0</w:t>
      </w:r>
      <w:r>
        <w:rPr>
          <w:rFonts w:hint="eastAsia" w:ascii="仿宋_GB2312" w:eastAsia="仿宋_GB2312" w:cs="Wingdings"/>
          <w:sz w:val="32"/>
          <w:szCs w:val="32"/>
        </w:rPr>
        <w:t>人、参加其他单位组织的因公出国（境）团组</w:t>
      </w:r>
      <w:r>
        <w:rPr>
          <w:rFonts w:hint="eastAsia" w:ascii="仿宋_GB2312" w:eastAsia="仿宋_GB2312" w:cs="Wingdings"/>
          <w:sz w:val="32"/>
          <w:szCs w:val="32"/>
          <w:lang w:val="en-US" w:eastAsia="zh-CN"/>
        </w:rPr>
        <w:t>0</w:t>
      </w:r>
      <w:r>
        <w:rPr>
          <w:rFonts w:hint="eastAsia" w:ascii="仿宋_GB2312" w:eastAsia="仿宋_GB2312" w:cs="Wingdings"/>
          <w:sz w:val="32"/>
          <w:szCs w:val="32"/>
        </w:rPr>
        <w:t>个、无本单位组织的出国（境）团组。因公出国（境）费支出较预算增加</w:t>
      </w:r>
      <w:r>
        <w:rPr>
          <w:rFonts w:hint="eastAsia" w:ascii="仿宋_GB2312" w:eastAsia="仿宋_GB2312" w:cs="Wingdings"/>
          <w:sz w:val="32"/>
          <w:szCs w:val="32"/>
          <w:lang w:val="en-US" w:eastAsia="zh-CN"/>
        </w:rPr>
        <w:t>0</w:t>
      </w:r>
      <w:r>
        <w:rPr>
          <w:rFonts w:hint="eastAsia" w:ascii="仿宋_GB2312" w:eastAsia="仿宋_GB2312" w:cs="Wingdings"/>
          <w:sz w:val="32"/>
          <w:szCs w:val="32"/>
        </w:rPr>
        <w:t>万元，增长</w:t>
      </w:r>
      <w:r>
        <w:rPr>
          <w:rFonts w:hint="eastAsia" w:ascii="仿宋_GB2312" w:eastAsia="仿宋_GB2312" w:cs="Wingdings"/>
          <w:sz w:val="32"/>
          <w:szCs w:val="32"/>
          <w:lang w:val="en-US" w:eastAsia="zh-CN"/>
        </w:rPr>
        <w:t>0</w:t>
      </w:r>
      <w:r>
        <w:rPr>
          <w:rFonts w:hint="eastAsia" w:ascii="仿宋_GB2312" w:eastAsia="仿宋_GB2312" w:cs="Wingdings"/>
          <w:sz w:val="32"/>
          <w:szCs w:val="32"/>
        </w:rPr>
        <w:t>%,</w:t>
      </w:r>
      <w:r>
        <w:rPr>
          <w:rFonts w:hint="eastAsia" w:ascii="仿宋_GB2312" w:eastAsia="仿宋_GB2312" w:cs="Wingdings"/>
          <w:color w:val="000000"/>
          <w:sz w:val="32"/>
          <w:szCs w:val="32"/>
          <w:highlight w:val="none"/>
        </w:rPr>
        <w:t>与年初预算持平</w:t>
      </w:r>
      <w:r>
        <w:rPr>
          <w:rFonts w:hint="eastAsia" w:ascii="仿宋_GB2312" w:eastAsia="仿宋_GB2312" w:cs="Wingdings"/>
          <w:sz w:val="32"/>
          <w:szCs w:val="32"/>
          <w:highlight w:val="none"/>
        </w:rPr>
        <w:t>；较上年增加</w:t>
      </w:r>
      <w:r>
        <w:rPr>
          <w:rFonts w:hint="eastAsia" w:ascii="仿宋_GB2312" w:eastAsia="仿宋_GB2312" w:cs="Wingdings"/>
          <w:sz w:val="32"/>
          <w:szCs w:val="32"/>
          <w:highlight w:val="none"/>
          <w:lang w:val="en-US" w:eastAsia="zh-CN"/>
        </w:rPr>
        <w:t>0</w:t>
      </w:r>
      <w:r>
        <w:rPr>
          <w:rFonts w:hint="eastAsia" w:ascii="仿宋_GB2312" w:eastAsia="仿宋_GB2312" w:cs="Wingdings"/>
          <w:sz w:val="32"/>
          <w:szCs w:val="32"/>
          <w:highlight w:val="none"/>
        </w:rPr>
        <w:t>万元，增长</w:t>
      </w:r>
      <w:r>
        <w:rPr>
          <w:rFonts w:hint="eastAsia" w:ascii="仿宋_GB2312" w:eastAsia="仿宋_GB2312" w:cs="Wingdings"/>
          <w:sz w:val="32"/>
          <w:szCs w:val="32"/>
          <w:highlight w:val="none"/>
          <w:lang w:val="en-US" w:eastAsia="zh-CN"/>
        </w:rPr>
        <w:t>0</w:t>
      </w:r>
      <w:r>
        <w:rPr>
          <w:rFonts w:hint="eastAsia" w:ascii="仿宋_GB2312" w:eastAsia="仿宋_GB2312" w:cs="Wingdings"/>
          <w:sz w:val="32"/>
          <w:szCs w:val="32"/>
          <w:highlight w:val="none"/>
        </w:rPr>
        <w:t>%</w:t>
      </w:r>
      <w:r>
        <w:rPr>
          <w:rFonts w:hint="eastAsia" w:ascii="仿宋_GB2312" w:eastAsia="仿宋_GB2312" w:cs="Wingdings"/>
          <w:sz w:val="32"/>
          <w:szCs w:val="32"/>
          <w:highlight w:val="none"/>
          <w:lang w:eastAsia="zh-CN"/>
        </w:rPr>
        <w:t>，</w:t>
      </w:r>
      <w:r>
        <w:rPr>
          <w:rFonts w:hint="eastAsia" w:ascii="仿宋_GB2312" w:eastAsia="仿宋_GB2312" w:cs="Wingdings"/>
          <w:color w:val="000000"/>
          <w:sz w:val="32"/>
          <w:szCs w:val="32"/>
          <w:highlight w:val="none"/>
        </w:rPr>
        <w:t>与2019年度决算支出持平</w:t>
      </w:r>
      <w:r>
        <w:rPr>
          <w:rFonts w:hint="eastAsia" w:ascii="仿宋_GB2312" w:eastAsia="仿宋_GB2312" w:cs="Wingdings"/>
          <w:sz w:val="32"/>
          <w:szCs w:val="32"/>
          <w:highlight w:val="none"/>
        </w:rPr>
        <w:t>。</w:t>
      </w:r>
    </w:p>
    <w:p>
      <w:pPr>
        <w:adjustRightInd w:val="0"/>
        <w:snapToGrid w:val="0"/>
        <w:spacing w:line="600" w:lineRule="exact"/>
        <w:ind w:firstLine="643" w:firstLineChars="200"/>
        <w:rPr>
          <w:rFonts w:ascii="仿宋_GB2312" w:eastAsia="仿宋_GB2312" w:cs="Mongolian Baiti"/>
          <w:b/>
          <w:bCs/>
          <w:sz w:val="32"/>
          <w:szCs w:val="32"/>
        </w:rPr>
      </w:pPr>
      <w:r>
        <w:rPr>
          <w:rFonts w:hint="eastAsia" w:ascii="楷体_GB2312" w:eastAsia="楷体_GB2312" w:cs="Mongolian Baiti"/>
          <w:b/>
          <w:bCs/>
          <w:sz w:val="32"/>
          <w:szCs w:val="32"/>
        </w:rPr>
        <w:t>2.公务用车购置及运行维护费</w:t>
      </w:r>
      <w:r>
        <w:rPr>
          <w:rFonts w:hint="eastAsia" w:ascii="楷体_GB2312" w:eastAsia="楷体_GB2312" w:cs="Mongolian Baiti"/>
          <w:b/>
          <w:bCs/>
          <w:sz w:val="32"/>
          <w:szCs w:val="32"/>
          <w:lang w:eastAsia="zh-CN"/>
        </w:rPr>
        <w:t>。</w:t>
      </w:r>
      <w:r>
        <w:rPr>
          <w:rFonts w:hint="eastAsia" w:ascii="仿宋_GB2312" w:eastAsia="仿宋_GB2312" w:cs="仿宋_GB2312"/>
          <w:b w:val="0"/>
          <w:bCs w:val="0"/>
          <w:sz w:val="32"/>
          <w:szCs w:val="32"/>
          <w:lang w:eastAsia="zh-CN"/>
        </w:rPr>
        <w:t>本部门2020</w:t>
      </w:r>
      <w:r>
        <w:rPr>
          <w:rFonts w:hint="eastAsia" w:ascii="仿宋_GB2312" w:eastAsia="仿宋_GB2312" w:cs="仿宋_GB2312"/>
          <w:b w:val="0"/>
          <w:bCs w:val="0"/>
          <w:sz w:val="32"/>
          <w:szCs w:val="32"/>
          <w:lang w:val="en-US" w:eastAsia="zh-CN"/>
        </w:rPr>
        <w:t>年</w:t>
      </w:r>
      <w:r>
        <w:rPr>
          <w:rFonts w:hint="eastAsia" w:ascii="仿宋_GB2312" w:eastAsia="仿宋_GB2312" w:cs="仿宋_GB2312"/>
          <w:b w:val="0"/>
          <w:bCs w:val="0"/>
          <w:sz w:val="32"/>
          <w:szCs w:val="32"/>
        </w:rPr>
        <w:t>公务用车购置及运行维护费</w:t>
      </w:r>
      <w:r>
        <w:rPr>
          <w:rFonts w:hint="eastAsia" w:ascii="仿宋_GB2312" w:eastAsia="仿宋_GB2312" w:cs="仿宋_GB2312"/>
          <w:b w:val="0"/>
          <w:bCs w:val="0"/>
          <w:sz w:val="32"/>
          <w:szCs w:val="32"/>
          <w:lang w:eastAsia="zh-CN"/>
        </w:rPr>
        <w:t>支出</w:t>
      </w:r>
      <w:r>
        <w:rPr>
          <w:rFonts w:hint="eastAsia" w:ascii="仿宋_GB2312" w:eastAsia="仿宋_GB2312" w:cs="仿宋_GB2312"/>
          <w:b w:val="0"/>
          <w:bCs w:val="0"/>
          <w:sz w:val="32"/>
          <w:szCs w:val="32"/>
          <w:lang w:val="en-US" w:eastAsia="zh-CN"/>
        </w:rPr>
        <w:t>29.88</w:t>
      </w:r>
      <w:r>
        <w:rPr>
          <w:rFonts w:hint="eastAsia" w:ascii="仿宋_GB2312" w:eastAsia="仿宋_GB2312" w:cs="仿宋_GB2312"/>
          <w:b w:val="0"/>
          <w:bCs w:val="0"/>
          <w:sz w:val="32"/>
          <w:szCs w:val="32"/>
          <w:lang w:eastAsia="zh-CN"/>
        </w:rPr>
        <w:t>万元，完成预算的</w:t>
      </w:r>
      <w:r>
        <w:rPr>
          <w:rFonts w:hint="eastAsia" w:ascii="仿宋_GB2312" w:eastAsia="仿宋_GB2312" w:cs="仿宋_GB2312"/>
          <w:b w:val="0"/>
          <w:bCs w:val="0"/>
          <w:sz w:val="32"/>
          <w:szCs w:val="32"/>
          <w:lang w:val="en-US" w:eastAsia="zh-CN"/>
        </w:rPr>
        <w:t>64.96</w:t>
      </w:r>
      <w:r>
        <w:rPr>
          <w:rFonts w:hint="eastAsia" w:ascii="仿宋_GB2312" w:eastAsia="仿宋_GB2312" w:cs="仿宋_GB2312"/>
          <w:b w:val="0"/>
          <w:bCs w:val="0"/>
          <w:sz w:val="32"/>
          <w:szCs w:val="32"/>
          <w:lang w:eastAsia="zh-CN"/>
        </w:rPr>
        <w:t>%，</w:t>
      </w:r>
      <w:r>
        <w:rPr>
          <w:rFonts w:hint="eastAsia" w:ascii="仿宋_GB2312" w:eastAsia="仿宋_GB2312" w:cs="Wingdings"/>
          <w:sz w:val="32"/>
          <w:szCs w:val="32"/>
        </w:rPr>
        <w:t>较预算减少</w:t>
      </w:r>
      <w:r>
        <w:rPr>
          <w:rFonts w:hint="eastAsia" w:ascii="仿宋_GB2312" w:eastAsia="仿宋_GB2312" w:cs="Wingdings"/>
          <w:sz w:val="32"/>
          <w:szCs w:val="32"/>
          <w:lang w:val="en-US" w:eastAsia="zh-CN"/>
        </w:rPr>
        <w:t>16.12</w:t>
      </w:r>
      <w:r>
        <w:rPr>
          <w:rFonts w:hint="eastAsia" w:ascii="仿宋_GB2312" w:eastAsia="仿宋_GB2312" w:cs="Wingdings"/>
          <w:sz w:val="32"/>
          <w:szCs w:val="32"/>
        </w:rPr>
        <w:t>万元，降低</w:t>
      </w:r>
      <w:r>
        <w:rPr>
          <w:rFonts w:hint="eastAsia" w:ascii="仿宋_GB2312" w:eastAsia="仿宋_GB2312" w:cs="Wingdings"/>
          <w:sz w:val="32"/>
          <w:szCs w:val="32"/>
          <w:lang w:val="en-US" w:eastAsia="zh-CN"/>
        </w:rPr>
        <w:t>35.04</w:t>
      </w:r>
      <w:r>
        <w:rPr>
          <w:rFonts w:hint="eastAsia" w:ascii="仿宋_GB2312" w:eastAsia="仿宋_GB2312" w:cs="Wingdings"/>
          <w:sz w:val="32"/>
          <w:szCs w:val="32"/>
        </w:rPr>
        <w:t>%,主要是</w:t>
      </w:r>
      <w:r>
        <w:rPr>
          <w:rFonts w:hint="eastAsia" w:ascii="仿宋_GB2312" w:eastAsia="仿宋_GB2312" w:cs="Wingdings"/>
          <w:sz w:val="32"/>
          <w:szCs w:val="32"/>
          <w:lang w:eastAsia="zh-CN"/>
        </w:rPr>
        <w:t>公务用车运行费减少，节约支出</w:t>
      </w:r>
      <w:r>
        <w:rPr>
          <w:rFonts w:hint="eastAsia" w:ascii="仿宋_GB2312" w:eastAsia="仿宋_GB2312" w:cs="Wingdings"/>
          <w:sz w:val="32"/>
          <w:szCs w:val="32"/>
        </w:rPr>
        <w:t>；较上年减少</w:t>
      </w:r>
      <w:r>
        <w:rPr>
          <w:rFonts w:hint="eastAsia" w:ascii="仿宋_GB2312" w:eastAsia="仿宋_GB2312" w:cs="Wingdings"/>
          <w:sz w:val="32"/>
          <w:szCs w:val="32"/>
          <w:lang w:val="en-US" w:eastAsia="zh-CN"/>
        </w:rPr>
        <w:t>21.85</w:t>
      </w:r>
      <w:r>
        <w:rPr>
          <w:rFonts w:hint="eastAsia" w:ascii="仿宋_GB2312" w:eastAsia="仿宋_GB2312" w:cs="Wingdings"/>
          <w:sz w:val="32"/>
          <w:szCs w:val="32"/>
        </w:rPr>
        <w:t>万元，降低</w:t>
      </w:r>
      <w:r>
        <w:rPr>
          <w:rFonts w:hint="eastAsia" w:ascii="仿宋_GB2312" w:eastAsia="仿宋_GB2312" w:cs="Wingdings"/>
          <w:sz w:val="32"/>
          <w:szCs w:val="32"/>
          <w:lang w:val="en-US" w:eastAsia="zh-CN"/>
        </w:rPr>
        <w:t>42.24</w:t>
      </w:r>
      <w:r>
        <w:rPr>
          <w:rFonts w:hint="eastAsia" w:ascii="仿宋_GB2312" w:eastAsia="仿宋_GB2312" w:cs="Wingdings"/>
          <w:sz w:val="32"/>
          <w:szCs w:val="32"/>
        </w:rPr>
        <w:t>%,主要是</w:t>
      </w:r>
      <w:r>
        <w:rPr>
          <w:rFonts w:hint="eastAsia" w:ascii="仿宋_GB2312" w:eastAsia="仿宋_GB2312" w:cs="Wingdings"/>
          <w:sz w:val="32"/>
          <w:szCs w:val="32"/>
          <w:lang w:eastAsia="zh-CN"/>
        </w:rPr>
        <w:t>公务用车运行费减少，节约支出</w:t>
      </w:r>
      <w:r>
        <w:rPr>
          <w:rFonts w:hint="eastAsia" w:ascii="仿宋_GB2312" w:eastAsia="仿宋_GB2312" w:cs="Wingdings"/>
          <w:sz w:val="32"/>
          <w:szCs w:val="32"/>
        </w:rPr>
        <w:t>。</w:t>
      </w:r>
      <w:r>
        <w:rPr>
          <w:rFonts w:hint="eastAsia" w:ascii="仿宋_GB2312" w:eastAsia="仿宋_GB2312" w:cs="Mongolian Baiti"/>
          <w:b/>
          <w:bCs/>
          <w:sz w:val="32"/>
          <w:szCs w:val="32"/>
        </w:rPr>
        <w:t>其中：</w:t>
      </w:r>
    </w:p>
    <w:p>
      <w:pPr>
        <w:adjustRightInd w:val="0"/>
        <w:snapToGrid w:val="0"/>
        <w:spacing w:line="600" w:lineRule="exact"/>
        <w:ind w:firstLine="643" w:firstLineChars="200"/>
        <w:rPr>
          <w:rFonts w:hint="eastAsia" w:ascii="仿宋_GB2312" w:eastAsia="仿宋_GB2312" w:cs="Wingdings"/>
          <w:sz w:val="32"/>
          <w:szCs w:val="32"/>
          <w:lang w:eastAsia="zh-CN"/>
        </w:rPr>
      </w:pPr>
      <w:r>
        <w:rPr>
          <w:rFonts w:hint="eastAsia" w:ascii="仿宋_GB2312" w:eastAsia="仿宋_GB2312" w:cs="Wingdings"/>
          <w:b/>
          <w:sz w:val="32"/>
          <w:szCs w:val="32"/>
        </w:rPr>
        <w:t>公务用车购置费支出：</w:t>
      </w:r>
      <w:r>
        <w:rPr>
          <w:rFonts w:hint="eastAsia" w:ascii="仿宋_GB2312" w:eastAsia="仿宋_GB2312" w:cs="Wingdings"/>
          <w:sz w:val="32"/>
          <w:szCs w:val="32"/>
        </w:rPr>
        <w:t>本部门2020年度公务用车购置量</w:t>
      </w:r>
      <w:r>
        <w:rPr>
          <w:rFonts w:hint="eastAsia" w:ascii="仿宋_GB2312" w:eastAsia="仿宋_GB2312" w:cs="Wingdings"/>
          <w:sz w:val="32"/>
          <w:szCs w:val="32"/>
          <w:lang w:val="en-US" w:eastAsia="zh-CN"/>
        </w:rPr>
        <w:t>0</w:t>
      </w:r>
      <w:r>
        <w:rPr>
          <w:rFonts w:hint="eastAsia" w:ascii="仿宋_GB2312" w:eastAsia="仿宋_GB2312" w:cs="Wingdings"/>
          <w:sz w:val="32"/>
          <w:szCs w:val="32"/>
        </w:rPr>
        <w:t>辆，发生“公务用车购置”经费支出</w:t>
      </w:r>
      <w:r>
        <w:rPr>
          <w:rFonts w:hint="eastAsia" w:ascii="仿宋_GB2312" w:eastAsia="仿宋_GB2312" w:cs="Wingdings"/>
          <w:sz w:val="32"/>
          <w:szCs w:val="32"/>
          <w:lang w:val="en-US" w:eastAsia="zh-CN"/>
        </w:rPr>
        <w:t>0</w:t>
      </w:r>
      <w:r>
        <w:rPr>
          <w:rFonts w:hint="eastAsia" w:ascii="仿宋_GB2312" w:eastAsia="仿宋_GB2312" w:cs="Wingdings"/>
          <w:sz w:val="32"/>
          <w:szCs w:val="32"/>
        </w:rPr>
        <w:t>万元。公务用车购置费支出较预算增加</w:t>
      </w:r>
      <w:r>
        <w:rPr>
          <w:rFonts w:hint="eastAsia" w:ascii="仿宋_GB2312" w:eastAsia="仿宋_GB2312" w:cs="Wingdings"/>
          <w:sz w:val="32"/>
          <w:szCs w:val="32"/>
          <w:lang w:val="en-US" w:eastAsia="zh-CN"/>
        </w:rPr>
        <w:t>0</w:t>
      </w:r>
      <w:r>
        <w:rPr>
          <w:rFonts w:hint="eastAsia" w:ascii="仿宋_GB2312" w:eastAsia="仿宋_GB2312" w:cs="Wingdings"/>
          <w:sz w:val="32"/>
          <w:szCs w:val="32"/>
        </w:rPr>
        <w:t>万元，增长</w:t>
      </w:r>
      <w:r>
        <w:rPr>
          <w:rFonts w:hint="eastAsia" w:ascii="仿宋_GB2312" w:eastAsia="仿宋_GB2312" w:cs="Wingdings"/>
          <w:sz w:val="32"/>
          <w:szCs w:val="32"/>
          <w:lang w:val="en-US" w:eastAsia="zh-CN"/>
        </w:rPr>
        <w:t>0</w:t>
      </w:r>
      <w:r>
        <w:rPr>
          <w:rFonts w:hint="eastAsia" w:ascii="仿宋_GB2312" w:eastAsia="仿宋_GB2312" w:cs="Wingdings"/>
          <w:sz w:val="32"/>
          <w:szCs w:val="32"/>
        </w:rPr>
        <w:t>%</w:t>
      </w:r>
      <w:r>
        <w:rPr>
          <w:rFonts w:hint="eastAsia" w:ascii="仿宋_GB2312" w:eastAsia="仿宋_GB2312" w:cs="Wingdings"/>
          <w:sz w:val="32"/>
          <w:szCs w:val="32"/>
          <w:highlight w:val="none"/>
          <w:lang w:eastAsia="zh-CN"/>
        </w:rPr>
        <w:t>，</w:t>
      </w:r>
      <w:r>
        <w:rPr>
          <w:rFonts w:hint="eastAsia" w:ascii="仿宋_GB2312" w:eastAsia="仿宋_GB2312" w:cs="Wingdings"/>
          <w:color w:val="000000"/>
          <w:sz w:val="32"/>
          <w:szCs w:val="32"/>
          <w:highlight w:val="none"/>
        </w:rPr>
        <w:t>与年初预算持平</w:t>
      </w:r>
      <w:r>
        <w:rPr>
          <w:rFonts w:hint="eastAsia" w:ascii="仿宋_GB2312" w:eastAsia="仿宋_GB2312" w:cs="Wingdings"/>
          <w:sz w:val="32"/>
          <w:szCs w:val="32"/>
          <w:highlight w:val="none"/>
        </w:rPr>
        <w:t>；</w:t>
      </w:r>
      <w:r>
        <w:rPr>
          <w:rFonts w:hint="eastAsia" w:ascii="仿宋_GB2312" w:eastAsia="仿宋_GB2312" w:cs="Wingdings"/>
          <w:sz w:val="32"/>
          <w:szCs w:val="32"/>
        </w:rPr>
        <w:t>较上年</w:t>
      </w:r>
      <w:r>
        <w:rPr>
          <w:rFonts w:hint="eastAsia" w:ascii="仿宋_GB2312" w:eastAsia="仿宋_GB2312" w:cs="Wingdings"/>
          <w:sz w:val="32"/>
          <w:szCs w:val="32"/>
          <w:lang w:eastAsia="zh-CN"/>
        </w:rPr>
        <w:t>减少</w:t>
      </w:r>
      <w:r>
        <w:rPr>
          <w:rFonts w:hint="eastAsia" w:ascii="仿宋_GB2312" w:eastAsia="仿宋_GB2312" w:cs="Wingdings"/>
          <w:sz w:val="32"/>
          <w:szCs w:val="32"/>
          <w:lang w:val="en-US" w:eastAsia="zh-CN"/>
        </w:rPr>
        <w:t>17.9</w:t>
      </w:r>
      <w:r>
        <w:rPr>
          <w:rFonts w:hint="eastAsia" w:ascii="仿宋_GB2312" w:eastAsia="仿宋_GB2312" w:cs="Wingdings"/>
          <w:sz w:val="32"/>
          <w:szCs w:val="32"/>
        </w:rPr>
        <w:t>万元，</w:t>
      </w:r>
      <w:r>
        <w:rPr>
          <w:rFonts w:hint="eastAsia" w:ascii="仿宋_GB2312" w:eastAsia="仿宋_GB2312" w:cs="Wingdings"/>
          <w:sz w:val="32"/>
          <w:szCs w:val="32"/>
          <w:lang w:eastAsia="zh-CN"/>
        </w:rPr>
        <w:t>减少</w:t>
      </w:r>
      <w:r>
        <w:rPr>
          <w:rFonts w:hint="eastAsia" w:ascii="仿宋_GB2312" w:eastAsia="仿宋_GB2312" w:cs="Wingdings"/>
          <w:sz w:val="32"/>
          <w:szCs w:val="32"/>
          <w:lang w:val="en-US" w:eastAsia="zh-CN"/>
        </w:rPr>
        <w:t>100</w:t>
      </w:r>
      <w:r>
        <w:rPr>
          <w:rFonts w:hint="eastAsia" w:ascii="仿宋_GB2312" w:eastAsia="仿宋_GB2312" w:cs="Wingdings"/>
          <w:sz w:val="32"/>
          <w:szCs w:val="32"/>
        </w:rPr>
        <w:t>%</w:t>
      </w:r>
      <w:r>
        <w:rPr>
          <w:rFonts w:hint="eastAsia" w:ascii="仿宋_GB2312" w:eastAsia="仿宋_GB2312" w:cs="Wingdings"/>
          <w:sz w:val="32"/>
          <w:szCs w:val="32"/>
          <w:lang w:eastAsia="zh-CN"/>
        </w:rPr>
        <w:t>，</w:t>
      </w:r>
      <w:r>
        <w:rPr>
          <w:rFonts w:hint="eastAsia" w:ascii="仿宋_GB2312" w:eastAsia="仿宋_GB2312" w:cs="Wingdings"/>
          <w:color w:val="000000"/>
          <w:sz w:val="32"/>
          <w:szCs w:val="32"/>
          <w:highlight w:val="none"/>
          <w:lang w:eastAsia="zh-CN"/>
        </w:rPr>
        <w:t>主要是</w:t>
      </w:r>
      <w:r>
        <w:rPr>
          <w:rFonts w:hint="eastAsia" w:ascii="仿宋_GB2312" w:eastAsia="仿宋_GB2312" w:cs="Wingdings"/>
          <w:color w:val="000000"/>
          <w:sz w:val="32"/>
          <w:szCs w:val="32"/>
          <w:highlight w:val="none"/>
          <w:lang w:val="en-US" w:eastAsia="zh-CN"/>
        </w:rPr>
        <w:t>2019年有购置车辆</w:t>
      </w:r>
      <w:r>
        <w:rPr>
          <w:rFonts w:hint="eastAsia" w:ascii="仿宋_GB2312" w:eastAsia="仿宋_GB2312" w:cs="Wingdings"/>
          <w:sz w:val="32"/>
          <w:szCs w:val="32"/>
          <w:lang w:eastAsia="zh-CN"/>
        </w:rPr>
        <w:t>。</w:t>
      </w:r>
    </w:p>
    <w:p>
      <w:pPr>
        <w:adjustRightInd w:val="0"/>
        <w:snapToGrid w:val="0"/>
        <w:spacing w:line="600" w:lineRule="exact"/>
        <w:ind w:firstLine="643" w:firstLineChars="200"/>
        <w:rPr>
          <w:rFonts w:ascii="仿宋_GB2312" w:eastAsia="仿宋_GB2312" w:cs="Wingdings"/>
          <w:sz w:val="32"/>
          <w:szCs w:val="32"/>
        </w:rPr>
      </w:pPr>
      <w:r>
        <w:rPr>
          <w:rFonts w:hint="eastAsia" w:ascii="仿宋_GB2312" w:eastAsia="仿宋_GB2312" w:cs="Wingdings"/>
          <w:b/>
          <w:sz w:val="32"/>
          <w:szCs w:val="32"/>
        </w:rPr>
        <w:t>公务用车运行维护费支出：</w:t>
      </w:r>
      <w:r>
        <w:rPr>
          <w:rFonts w:hint="eastAsia" w:ascii="仿宋_GB2312" w:eastAsia="仿宋_GB2312" w:cs="Wingdings"/>
          <w:sz w:val="32"/>
          <w:szCs w:val="32"/>
        </w:rPr>
        <w:t>本部门2020年度单位公务用车保有量</w:t>
      </w:r>
      <w:r>
        <w:rPr>
          <w:rFonts w:hint="eastAsia" w:ascii="仿宋_GB2312" w:eastAsia="仿宋_GB2312" w:cs="Wingdings"/>
          <w:sz w:val="32"/>
          <w:szCs w:val="32"/>
          <w:lang w:val="en-US" w:eastAsia="zh-CN"/>
        </w:rPr>
        <w:t>9</w:t>
      </w:r>
      <w:r>
        <w:rPr>
          <w:rFonts w:hint="eastAsia" w:ascii="仿宋_GB2312" w:eastAsia="仿宋_GB2312" w:cs="Wingdings"/>
          <w:sz w:val="32"/>
          <w:szCs w:val="32"/>
        </w:rPr>
        <w:t>辆</w:t>
      </w:r>
      <w:r>
        <w:rPr>
          <w:rFonts w:hint="eastAsia" w:ascii="仿宋_GB2312" w:eastAsia="仿宋_GB2312" w:cs="Wingdings"/>
          <w:sz w:val="32"/>
          <w:szCs w:val="32"/>
          <w:lang w:val="en-US" w:eastAsia="zh-CN"/>
        </w:rPr>
        <w:t>,发生运行维护费支出29.88万元</w:t>
      </w:r>
      <w:r>
        <w:rPr>
          <w:rFonts w:hint="eastAsia" w:ascii="仿宋_GB2312" w:eastAsia="仿宋_GB2312" w:cs="Wingdings"/>
          <w:sz w:val="32"/>
          <w:szCs w:val="32"/>
        </w:rPr>
        <w:t>。公车运行维护费支出较预算减少</w:t>
      </w:r>
      <w:r>
        <w:rPr>
          <w:rFonts w:hint="eastAsia" w:ascii="仿宋_GB2312" w:eastAsia="仿宋_GB2312" w:cs="Wingdings"/>
          <w:sz w:val="32"/>
          <w:szCs w:val="32"/>
          <w:lang w:val="en-US" w:eastAsia="zh-CN"/>
        </w:rPr>
        <w:t>16.12</w:t>
      </w:r>
      <w:r>
        <w:rPr>
          <w:rFonts w:hint="eastAsia" w:ascii="仿宋_GB2312" w:eastAsia="仿宋_GB2312" w:cs="Wingdings"/>
          <w:sz w:val="32"/>
          <w:szCs w:val="32"/>
        </w:rPr>
        <w:t>万元，降低</w:t>
      </w:r>
      <w:r>
        <w:rPr>
          <w:rFonts w:hint="eastAsia" w:ascii="仿宋_GB2312" w:eastAsia="仿宋_GB2312" w:cs="Wingdings"/>
          <w:sz w:val="32"/>
          <w:szCs w:val="32"/>
          <w:lang w:val="en-US" w:eastAsia="zh-CN"/>
        </w:rPr>
        <w:t>35.04</w:t>
      </w:r>
      <w:r>
        <w:rPr>
          <w:rFonts w:hint="eastAsia" w:ascii="仿宋_GB2312" w:eastAsia="仿宋_GB2312" w:cs="Wingdings"/>
          <w:sz w:val="32"/>
          <w:szCs w:val="32"/>
        </w:rPr>
        <w:t>%,主要是</w:t>
      </w:r>
      <w:r>
        <w:rPr>
          <w:rFonts w:hint="eastAsia" w:ascii="仿宋_GB2312" w:eastAsia="仿宋_GB2312" w:cs="Wingdings"/>
          <w:sz w:val="32"/>
          <w:szCs w:val="32"/>
          <w:lang w:eastAsia="zh-CN"/>
        </w:rPr>
        <w:t>公务用车运行费减少，节约支出</w:t>
      </w:r>
      <w:r>
        <w:rPr>
          <w:rFonts w:hint="eastAsia" w:ascii="仿宋_GB2312" w:eastAsia="仿宋_GB2312" w:cs="Wingdings"/>
          <w:sz w:val="32"/>
          <w:szCs w:val="32"/>
        </w:rPr>
        <w:t>；较上年减少</w:t>
      </w:r>
      <w:r>
        <w:rPr>
          <w:rFonts w:hint="eastAsia" w:ascii="仿宋_GB2312" w:eastAsia="仿宋_GB2312" w:cs="Wingdings"/>
          <w:sz w:val="32"/>
          <w:szCs w:val="32"/>
          <w:lang w:val="en-US" w:eastAsia="zh-CN"/>
        </w:rPr>
        <w:t>3.95</w:t>
      </w:r>
      <w:r>
        <w:rPr>
          <w:rFonts w:hint="eastAsia" w:ascii="仿宋_GB2312" w:eastAsia="仿宋_GB2312" w:cs="Wingdings"/>
          <w:sz w:val="32"/>
          <w:szCs w:val="32"/>
        </w:rPr>
        <w:t>万元，降低</w:t>
      </w:r>
      <w:r>
        <w:rPr>
          <w:rFonts w:hint="eastAsia" w:ascii="仿宋_GB2312" w:eastAsia="仿宋_GB2312" w:cs="Wingdings"/>
          <w:sz w:val="32"/>
          <w:szCs w:val="32"/>
          <w:lang w:val="en-US" w:eastAsia="zh-CN"/>
        </w:rPr>
        <w:t>11.68</w:t>
      </w:r>
      <w:r>
        <w:rPr>
          <w:rFonts w:hint="eastAsia" w:ascii="仿宋_GB2312" w:eastAsia="仿宋_GB2312" w:cs="Wingdings"/>
          <w:sz w:val="32"/>
          <w:szCs w:val="32"/>
        </w:rPr>
        <w:t>%，主要是</w:t>
      </w:r>
      <w:r>
        <w:rPr>
          <w:rFonts w:hint="eastAsia" w:ascii="仿宋_GB2312" w:eastAsia="仿宋_GB2312" w:cs="Wingdings"/>
          <w:sz w:val="32"/>
          <w:szCs w:val="32"/>
          <w:lang w:eastAsia="zh-CN"/>
        </w:rPr>
        <w:t>公务用车运行费减少，节约支出</w:t>
      </w:r>
      <w:r>
        <w:rPr>
          <w:rFonts w:hint="eastAsia" w:ascii="仿宋_GB2312" w:eastAsia="仿宋_GB2312" w:cs="Wingdings"/>
          <w:sz w:val="32"/>
          <w:szCs w:val="32"/>
        </w:rPr>
        <w:t>。</w:t>
      </w:r>
    </w:p>
    <w:p>
      <w:pPr>
        <w:adjustRightInd w:val="0"/>
        <w:snapToGrid w:val="0"/>
        <w:spacing w:line="600" w:lineRule="exact"/>
        <w:ind w:firstLine="643" w:firstLineChars="200"/>
        <w:rPr>
          <w:rFonts w:ascii="仿宋_GB2312" w:eastAsia="仿宋_GB2312" w:cs="Wingdings"/>
          <w:sz w:val="32"/>
          <w:szCs w:val="32"/>
        </w:rPr>
      </w:pPr>
      <w:r>
        <w:rPr>
          <w:rFonts w:hint="eastAsia" w:ascii="楷体_GB2312" w:eastAsia="楷体_GB2312" w:cs="Mongolian Baiti"/>
          <w:b/>
          <w:bCs/>
          <w:sz w:val="32"/>
          <w:szCs w:val="32"/>
        </w:rPr>
        <w:t>3.公务接待费</w:t>
      </w:r>
      <w:r>
        <w:rPr>
          <w:rFonts w:hint="eastAsia" w:ascii="楷体_GB2312" w:eastAsia="楷体_GB2312" w:cs="Mongolian Baiti"/>
          <w:b/>
          <w:bCs/>
          <w:sz w:val="32"/>
          <w:szCs w:val="32"/>
          <w:lang w:eastAsia="zh-CN"/>
        </w:rPr>
        <w:t>。</w:t>
      </w:r>
      <w:r>
        <w:rPr>
          <w:rFonts w:hint="eastAsia" w:ascii="仿宋_GB2312" w:eastAsia="仿宋_GB2312" w:cs="仿宋_GB2312"/>
          <w:b w:val="0"/>
          <w:bCs w:val="0"/>
          <w:sz w:val="32"/>
          <w:szCs w:val="32"/>
        </w:rPr>
        <w:t>本部门2020年公务用车购置及运行维护费支出</w:t>
      </w:r>
      <w:r>
        <w:rPr>
          <w:rFonts w:hint="eastAsia" w:ascii="仿宋_GB2312" w:eastAsia="仿宋_GB2312" w:cs="仿宋_GB2312"/>
          <w:b w:val="0"/>
          <w:bCs w:val="0"/>
          <w:sz w:val="32"/>
          <w:szCs w:val="32"/>
          <w:lang w:val="en-US" w:eastAsia="zh-CN"/>
        </w:rPr>
        <w:t>0</w:t>
      </w:r>
      <w:r>
        <w:rPr>
          <w:rFonts w:hint="eastAsia" w:ascii="仿宋_GB2312" w:eastAsia="仿宋_GB2312" w:cs="仿宋_GB2312"/>
          <w:b w:val="0"/>
          <w:bCs w:val="0"/>
          <w:sz w:val="32"/>
          <w:szCs w:val="32"/>
        </w:rPr>
        <w:t>万元，完成预算的</w:t>
      </w:r>
      <w:r>
        <w:rPr>
          <w:rFonts w:hint="eastAsia" w:ascii="仿宋_GB2312" w:eastAsia="仿宋_GB2312" w:cs="仿宋_GB2312"/>
          <w:b w:val="0"/>
          <w:bCs w:val="0"/>
          <w:sz w:val="32"/>
          <w:szCs w:val="32"/>
          <w:lang w:val="en-US" w:eastAsia="zh-CN"/>
        </w:rPr>
        <w:t>0</w:t>
      </w:r>
      <w:r>
        <w:rPr>
          <w:rFonts w:hint="eastAsia" w:ascii="仿宋_GB2312" w:eastAsia="仿宋_GB2312" w:cs="仿宋_GB2312"/>
          <w:b w:val="0"/>
          <w:bCs w:val="0"/>
          <w:sz w:val="32"/>
          <w:szCs w:val="32"/>
        </w:rPr>
        <w:t>%</w:t>
      </w:r>
      <w:r>
        <w:rPr>
          <w:rFonts w:hint="eastAsia" w:ascii="仿宋_GB2312" w:eastAsia="仿宋_GB2312" w:cs="仿宋_GB2312"/>
          <w:b w:val="0"/>
          <w:bCs w:val="0"/>
          <w:sz w:val="32"/>
          <w:szCs w:val="32"/>
          <w:lang w:eastAsia="zh-CN"/>
        </w:rPr>
        <w:t>。</w:t>
      </w:r>
      <w:r>
        <w:rPr>
          <w:rFonts w:hint="eastAsia" w:ascii="仿宋_GB2312" w:eastAsia="仿宋_GB2312" w:cs="仿宋_GB2312"/>
          <w:b w:val="0"/>
          <w:bCs w:val="0"/>
          <w:sz w:val="32"/>
          <w:szCs w:val="32"/>
          <w:lang w:val="en-US" w:eastAsia="zh-CN"/>
        </w:rPr>
        <w:t>发生</w:t>
      </w:r>
      <w:r>
        <w:rPr>
          <w:rFonts w:hint="eastAsia" w:ascii="仿宋_GB2312" w:eastAsia="仿宋_GB2312" w:cs="Wingdings"/>
          <w:sz w:val="32"/>
          <w:szCs w:val="32"/>
        </w:rPr>
        <w:t>公务接待共</w:t>
      </w:r>
      <w:r>
        <w:rPr>
          <w:rFonts w:hint="eastAsia" w:ascii="仿宋_GB2312" w:eastAsia="仿宋_GB2312" w:cs="Wingdings"/>
          <w:sz w:val="32"/>
          <w:szCs w:val="32"/>
          <w:lang w:val="en-US" w:eastAsia="zh-CN"/>
        </w:rPr>
        <w:t>0</w:t>
      </w:r>
      <w:r>
        <w:rPr>
          <w:rFonts w:hint="eastAsia" w:ascii="仿宋_GB2312" w:eastAsia="仿宋_GB2312" w:cs="Wingdings"/>
          <w:sz w:val="32"/>
          <w:szCs w:val="32"/>
        </w:rPr>
        <w:t>批次、</w:t>
      </w:r>
      <w:r>
        <w:rPr>
          <w:rFonts w:hint="eastAsia" w:ascii="仿宋_GB2312" w:eastAsia="仿宋_GB2312" w:cs="Wingdings"/>
          <w:sz w:val="32"/>
          <w:szCs w:val="32"/>
          <w:lang w:val="en-US" w:eastAsia="zh-CN"/>
        </w:rPr>
        <w:t>0</w:t>
      </w:r>
      <w:r>
        <w:rPr>
          <w:rFonts w:hint="eastAsia" w:ascii="仿宋_GB2312" w:eastAsia="仿宋_GB2312" w:cs="Wingdings"/>
          <w:sz w:val="32"/>
          <w:szCs w:val="32"/>
        </w:rPr>
        <w:t>人次。公务接待费支出较预算减少</w:t>
      </w:r>
      <w:r>
        <w:rPr>
          <w:rFonts w:hint="eastAsia" w:ascii="仿宋_GB2312" w:eastAsia="仿宋_GB2312" w:cs="Wingdings"/>
          <w:sz w:val="32"/>
          <w:szCs w:val="32"/>
          <w:lang w:val="en-US" w:eastAsia="zh-CN"/>
        </w:rPr>
        <w:t>0</w:t>
      </w:r>
      <w:r>
        <w:rPr>
          <w:rFonts w:hint="eastAsia" w:ascii="仿宋_GB2312" w:eastAsia="仿宋_GB2312" w:cs="Wingdings"/>
          <w:sz w:val="32"/>
          <w:szCs w:val="32"/>
        </w:rPr>
        <w:t>万元，降低</w:t>
      </w:r>
      <w:r>
        <w:rPr>
          <w:rFonts w:hint="eastAsia" w:ascii="仿宋_GB2312" w:eastAsia="仿宋_GB2312" w:cs="Wingdings"/>
          <w:sz w:val="32"/>
          <w:szCs w:val="32"/>
          <w:lang w:val="en-US" w:eastAsia="zh-CN"/>
        </w:rPr>
        <w:t>0</w:t>
      </w:r>
      <w:r>
        <w:rPr>
          <w:rFonts w:hint="eastAsia" w:ascii="仿宋_GB2312" w:eastAsia="仿宋_GB2312" w:cs="Wingdings"/>
          <w:sz w:val="32"/>
          <w:szCs w:val="32"/>
        </w:rPr>
        <w:t>%,</w:t>
      </w:r>
      <w:r>
        <w:rPr>
          <w:rFonts w:hint="eastAsia" w:ascii="仿宋_GB2312" w:eastAsia="仿宋_GB2312" w:cs="Wingdings"/>
          <w:color w:val="000000"/>
          <w:sz w:val="32"/>
          <w:szCs w:val="32"/>
          <w:highlight w:val="none"/>
        </w:rPr>
        <w:t>与年初预算持平</w:t>
      </w:r>
      <w:r>
        <w:rPr>
          <w:rFonts w:hint="eastAsia" w:ascii="仿宋_GB2312" w:eastAsia="仿宋_GB2312" w:cs="Wingdings"/>
          <w:sz w:val="32"/>
          <w:szCs w:val="32"/>
        </w:rPr>
        <w:t>；较上年度减少</w:t>
      </w:r>
      <w:r>
        <w:rPr>
          <w:rFonts w:hint="eastAsia" w:ascii="仿宋_GB2312" w:eastAsia="仿宋_GB2312" w:cs="Wingdings"/>
          <w:sz w:val="32"/>
          <w:szCs w:val="32"/>
          <w:lang w:val="en-US" w:eastAsia="zh-CN"/>
        </w:rPr>
        <w:t>0</w:t>
      </w:r>
      <w:r>
        <w:rPr>
          <w:rFonts w:hint="eastAsia" w:ascii="仿宋_GB2312" w:eastAsia="仿宋_GB2312" w:cs="Wingdings"/>
          <w:sz w:val="32"/>
          <w:szCs w:val="32"/>
        </w:rPr>
        <w:t>万元，降低</w:t>
      </w:r>
      <w:r>
        <w:rPr>
          <w:rFonts w:hint="eastAsia" w:ascii="仿宋_GB2312" w:eastAsia="仿宋_GB2312" w:cs="Wingdings"/>
          <w:sz w:val="32"/>
          <w:szCs w:val="32"/>
          <w:lang w:val="en-US" w:eastAsia="zh-CN"/>
        </w:rPr>
        <w:t>0</w:t>
      </w:r>
      <w:r>
        <w:rPr>
          <w:rFonts w:hint="eastAsia" w:ascii="仿宋_GB2312" w:eastAsia="仿宋_GB2312" w:cs="Wingdings"/>
          <w:sz w:val="32"/>
          <w:szCs w:val="32"/>
        </w:rPr>
        <w:t>%,</w:t>
      </w:r>
      <w:r>
        <w:rPr>
          <w:rFonts w:hint="eastAsia" w:ascii="仿宋_GB2312" w:eastAsia="仿宋_GB2312" w:cs="Wingdings"/>
          <w:color w:val="000000"/>
          <w:sz w:val="32"/>
          <w:szCs w:val="32"/>
          <w:highlight w:val="none"/>
        </w:rPr>
        <w:t>与2019年度决算支出持平</w:t>
      </w:r>
      <w:r>
        <w:rPr>
          <w:rFonts w:hint="eastAsia" w:ascii="仿宋_GB2312" w:eastAsia="仿宋_GB2312" w:cs="Wingdings"/>
          <w:sz w:val="32"/>
          <w:szCs w:val="32"/>
        </w:rPr>
        <w:t>。</w:t>
      </w:r>
    </w:p>
    <w:p>
      <w:pPr>
        <w:adjustRightInd w:val="0"/>
        <w:snapToGrid w:val="0"/>
        <w:spacing w:line="600" w:lineRule="exact"/>
        <w:ind w:firstLine="640" w:firstLineChars="200"/>
        <w:rPr>
          <w:rFonts w:ascii="黑体" w:eastAsia="黑体" w:cs="Times New Roman"/>
          <w:sz w:val="32"/>
          <w:szCs w:val="40"/>
        </w:rPr>
      </w:pPr>
      <w:r>
        <w:rPr>
          <w:rFonts w:hint="eastAsia" w:ascii="黑体" w:eastAsia="黑体" w:cs="Times New Roman"/>
          <w:sz w:val="32"/>
          <w:szCs w:val="40"/>
        </w:rPr>
        <w:t>六、预算绩效情况说明</w:t>
      </w:r>
    </w:p>
    <w:p>
      <w:pPr>
        <w:adjustRightInd w:val="0"/>
        <w:snapToGrid w:val="0"/>
        <w:spacing w:line="60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（一）预算绩效管理工作开展情况。</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根据</w:t>
      </w:r>
      <w:r>
        <w:rPr>
          <w:rFonts w:hint="eastAsia" w:ascii="仿宋_GB2312" w:eastAsia="仿宋_GB2312" w:cs="仿宋_GB2312"/>
          <w:sz w:val="32"/>
          <w:szCs w:val="32"/>
          <w:lang w:eastAsia="zh-CN"/>
        </w:rPr>
        <w:t>石家庄市财政局《全面推进预算绩效管理工作实施方案》</w:t>
      </w:r>
      <w:r>
        <w:rPr>
          <w:rFonts w:hint="eastAsia" w:ascii="仿宋_GB2312" w:eastAsia="仿宋_GB2312" w:cs="Wingdings"/>
          <w:sz w:val="32"/>
          <w:szCs w:val="32"/>
        </w:rPr>
        <w:t>（</w:t>
      </w:r>
      <w:r>
        <w:rPr>
          <w:rFonts w:hint="eastAsia" w:ascii="仿宋_GB2312" w:eastAsia="仿宋_GB2312" w:cs="Wingdings"/>
          <w:sz w:val="32"/>
          <w:szCs w:val="32"/>
          <w:lang w:eastAsia="zh-CN"/>
        </w:rPr>
        <w:t>石</w:t>
      </w:r>
      <w:r>
        <w:rPr>
          <w:rFonts w:hint="eastAsia" w:ascii="仿宋_GB2312" w:eastAsia="仿宋_GB2312" w:cs="Wingdings"/>
          <w:sz w:val="32"/>
          <w:szCs w:val="32"/>
        </w:rPr>
        <w:t>财绩〔2019〕</w:t>
      </w:r>
      <w:r>
        <w:rPr>
          <w:rFonts w:hint="eastAsia" w:ascii="仿宋_GB2312" w:eastAsia="仿宋_GB2312" w:cs="Wingdings"/>
          <w:sz w:val="32"/>
          <w:szCs w:val="32"/>
          <w:lang w:val="en-US" w:eastAsia="zh-CN"/>
        </w:rPr>
        <w:t>2</w:t>
      </w:r>
      <w:r>
        <w:rPr>
          <w:rFonts w:hint="eastAsia" w:ascii="仿宋_GB2312" w:eastAsia="仿宋_GB2312" w:cs="Wingdings"/>
          <w:sz w:val="32"/>
          <w:szCs w:val="32"/>
        </w:rPr>
        <w:t>号）</w:t>
      </w:r>
      <w:r>
        <w:rPr>
          <w:rFonts w:hint="eastAsia" w:ascii="仿宋_GB2312" w:eastAsia="仿宋_GB2312" w:cs="Wingdings"/>
          <w:sz w:val="32"/>
          <w:szCs w:val="32"/>
          <w:lang w:eastAsia="zh-CN"/>
        </w:rPr>
        <w:t>、栾城区政府《关于进一步加强部门预算资金管理的意见》</w:t>
      </w:r>
      <w:r>
        <w:rPr>
          <w:rFonts w:hint="eastAsia" w:ascii="仿宋_GB2312" w:eastAsia="仿宋_GB2312" w:cs="Wingdings"/>
          <w:sz w:val="32"/>
          <w:szCs w:val="32"/>
        </w:rPr>
        <w:t>（</w:t>
      </w:r>
      <w:r>
        <w:rPr>
          <w:rFonts w:hint="eastAsia" w:ascii="仿宋_GB2312" w:eastAsia="仿宋_GB2312" w:cs="Wingdings"/>
          <w:sz w:val="32"/>
          <w:szCs w:val="32"/>
          <w:lang w:eastAsia="zh-CN"/>
        </w:rPr>
        <w:t>石栾政函</w:t>
      </w:r>
      <w:r>
        <w:rPr>
          <w:rFonts w:hint="eastAsia" w:ascii="仿宋_GB2312" w:eastAsia="仿宋_GB2312" w:cs="Wingdings"/>
          <w:sz w:val="32"/>
          <w:szCs w:val="32"/>
        </w:rPr>
        <w:t>〔2020〕</w:t>
      </w:r>
      <w:r>
        <w:rPr>
          <w:rFonts w:hint="eastAsia" w:ascii="仿宋_GB2312" w:eastAsia="仿宋_GB2312" w:cs="Wingdings"/>
          <w:sz w:val="32"/>
          <w:szCs w:val="32"/>
          <w:lang w:val="en-US" w:eastAsia="zh-CN"/>
        </w:rPr>
        <w:t>60</w:t>
      </w:r>
      <w:r>
        <w:rPr>
          <w:rFonts w:hint="eastAsia" w:ascii="仿宋_GB2312" w:eastAsia="仿宋_GB2312" w:cs="Wingdings"/>
          <w:sz w:val="32"/>
          <w:szCs w:val="32"/>
        </w:rPr>
        <w:t xml:space="preserve"> 号）</w:t>
      </w:r>
      <w:r>
        <w:rPr>
          <w:rFonts w:hint="eastAsia" w:ascii="仿宋_GB2312" w:eastAsia="仿宋_GB2312" w:cs="Wingdings"/>
          <w:sz w:val="32"/>
          <w:szCs w:val="32"/>
          <w:lang w:eastAsia="zh-CN"/>
        </w:rPr>
        <w:t>、栾城区财政局《关于印发预算绩效自评工作管理办法的通知》</w:t>
      </w:r>
      <w:r>
        <w:rPr>
          <w:rFonts w:hint="eastAsia" w:ascii="仿宋_GB2312" w:eastAsia="仿宋_GB2312" w:cs="Wingdings"/>
          <w:sz w:val="32"/>
          <w:szCs w:val="32"/>
        </w:rPr>
        <w:t>（</w:t>
      </w:r>
      <w:r>
        <w:rPr>
          <w:rFonts w:hint="eastAsia" w:ascii="仿宋_GB2312" w:eastAsia="仿宋_GB2312" w:cs="Wingdings"/>
          <w:sz w:val="32"/>
          <w:szCs w:val="32"/>
          <w:lang w:eastAsia="zh-CN"/>
        </w:rPr>
        <w:t>石栾财字</w:t>
      </w:r>
      <w:r>
        <w:rPr>
          <w:rFonts w:hint="eastAsia" w:ascii="仿宋_GB2312" w:eastAsia="仿宋_GB2312" w:cs="Wingdings"/>
          <w:sz w:val="32"/>
          <w:szCs w:val="32"/>
        </w:rPr>
        <w:t>〔2020〕</w:t>
      </w:r>
      <w:r>
        <w:rPr>
          <w:rFonts w:hint="eastAsia" w:ascii="仿宋_GB2312" w:eastAsia="仿宋_GB2312" w:cs="Wingdings"/>
          <w:sz w:val="32"/>
          <w:szCs w:val="32"/>
          <w:lang w:val="en-US" w:eastAsia="zh-CN"/>
        </w:rPr>
        <w:t>26</w:t>
      </w:r>
      <w:r>
        <w:rPr>
          <w:rFonts w:hint="eastAsia" w:ascii="仿宋_GB2312" w:eastAsia="仿宋_GB2312" w:cs="Wingdings"/>
          <w:sz w:val="32"/>
          <w:szCs w:val="32"/>
        </w:rPr>
        <w:t xml:space="preserve"> 号）</w:t>
      </w:r>
      <w:r>
        <w:rPr>
          <w:rFonts w:hint="eastAsia" w:ascii="仿宋_GB2312" w:eastAsia="仿宋_GB2312" w:cs="Wingdings"/>
          <w:sz w:val="32"/>
          <w:szCs w:val="32"/>
          <w:lang w:eastAsia="zh-CN"/>
        </w:rPr>
        <w:t>等文件的要求</w:t>
      </w:r>
      <w:r>
        <w:rPr>
          <w:rFonts w:hint="eastAsia" w:ascii="仿宋_GB2312" w:eastAsia="仿宋_GB2312" w:cs="仿宋_GB2312"/>
          <w:sz w:val="32"/>
          <w:szCs w:val="32"/>
        </w:rPr>
        <w:t>，本部门组织对2020年度项目支出全面开展绩效自评，其中，一般公共预算一级项目</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个，二级项目</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个，共涉及资金</w:t>
      </w:r>
      <w:r>
        <w:rPr>
          <w:rFonts w:hint="eastAsia" w:ascii="仿宋_GB2312" w:eastAsia="仿宋_GB2312" w:cs="仿宋_GB2312"/>
          <w:sz w:val="32"/>
          <w:szCs w:val="32"/>
          <w:lang w:val="en-US" w:eastAsia="zh-CN"/>
        </w:rPr>
        <w:t>468.65</w:t>
      </w:r>
      <w:r>
        <w:rPr>
          <w:rFonts w:hint="eastAsia" w:ascii="仿宋_GB2312" w:eastAsia="仿宋_GB2312" w:cs="仿宋_GB2312"/>
          <w:sz w:val="32"/>
          <w:szCs w:val="32"/>
        </w:rPr>
        <w:t>万元，占一般公共预算项目支出总额的</w:t>
      </w:r>
      <w:r>
        <w:rPr>
          <w:rFonts w:hint="eastAsia" w:ascii="仿宋_GB2312" w:eastAsia="仿宋_GB2312" w:cs="仿宋_GB2312"/>
          <w:sz w:val="32"/>
          <w:szCs w:val="32"/>
          <w:lang w:val="en-US" w:eastAsia="zh-CN"/>
        </w:rPr>
        <w:t>31.67</w:t>
      </w:r>
      <w:r>
        <w:rPr>
          <w:rFonts w:hint="eastAsia" w:ascii="仿宋_GB2312" w:eastAsia="仿宋_GB2312" w:cs="Wingdings"/>
          <w:sz w:val="32"/>
          <w:szCs w:val="32"/>
        </w:rPr>
        <w:t>%</w:t>
      </w:r>
      <w:r>
        <w:rPr>
          <w:rFonts w:hint="eastAsia" w:ascii="仿宋_GB2312" w:eastAsia="仿宋_GB2312" w:cs="仿宋_GB2312"/>
          <w:sz w:val="32"/>
          <w:szCs w:val="32"/>
        </w:rPr>
        <w:t>；政府性基金预算一级项目</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个，二级项目</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个,共涉及资金</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万元，占政府性基金预算项目支出总额的</w:t>
      </w:r>
      <w:r>
        <w:rPr>
          <w:rFonts w:hint="eastAsia" w:ascii="仿宋_GB2312" w:eastAsia="仿宋_GB2312" w:cs="仿宋_GB2312"/>
          <w:sz w:val="32"/>
          <w:szCs w:val="32"/>
          <w:lang w:val="en-US" w:eastAsia="zh-CN"/>
        </w:rPr>
        <w:t>0</w:t>
      </w:r>
      <w:r>
        <w:rPr>
          <w:rFonts w:hint="eastAsia" w:ascii="仿宋_GB2312" w:eastAsia="仿宋_GB2312" w:cs="Wingdings"/>
          <w:sz w:val="32"/>
          <w:szCs w:val="32"/>
        </w:rPr>
        <w:t>%</w:t>
      </w:r>
      <w:r>
        <w:rPr>
          <w:rFonts w:hint="eastAsia" w:ascii="仿宋_GB2312" w:eastAsia="仿宋_GB2312" w:cs="仿宋_GB2312"/>
          <w:sz w:val="32"/>
          <w:szCs w:val="32"/>
        </w:rPr>
        <w:t>。</w:t>
      </w:r>
    </w:p>
    <w:p>
      <w:pPr>
        <w:adjustRightInd w:val="0"/>
        <w:snapToGrid w:val="0"/>
        <w:spacing w:line="60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（二） 部门决算中项目绩效自评结果。</w:t>
      </w:r>
    </w:p>
    <w:p>
      <w:pPr>
        <w:pageBreakBefore w:val="0"/>
        <w:widowControl w:val="0"/>
        <w:kinsoku/>
        <w:wordWrap/>
        <w:overflowPunct/>
        <w:topLinePunct w:val="0"/>
        <w:bidi w:val="0"/>
        <w:adjustRightInd/>
        <w:snapToGrid w:val="0"/>
        <w:spacing w:before="0" w:after="0" w:line="620" w:lineRule="exact"/>
        <w:ind w:left="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2020年</w:t>
      </w:r>
      <w:r>
        <w:rPr>
          <w:rFonts w:hint="eastAsia" w:ascii="仿宋_GB2312" w:eastAsia="仿宋_GB2312"/>
          <w:sz w:val="32"/>
          <w:szCs w:val="32"/>
          <w:lang w:eastAsia="zh-CN"/>
        </w:rPr>
        <w:t>本部门</w:t>
      </w:r>
      <w:r>
        <w:rPr>
          <w:rFonts w:hint="eastAsia" w:ascii="仿宋_GB2312" w:eastAsia="仿宋_GB2312"/>
          <w:sz w:val="32"/>
          <w:szCs w:val="32"/>
        </w:rPr>
        <w:t>绩效自评项目共</w:t>
      </w:r>
      <w:r>
        <w:rPr>
          <w:rFonts w:hint="eastAsia" w:ascii="仿宋_GB2312" w:eastAsia="仿宋_GB2312"/>
          <w:sz w:val="32"/>
          <w:szCs w:val="32"/>
          <w:lang w:val="en-US" w:eastAsia="zh-CN"/>
        </w:rPr>
        <w:t>11</w:t>
      </w:r>
      <w:r>
        <w:rPr>
          <w:rFonts w:hint="eastAsia" w:ascii="仿宋_GB2312" w:eastAsia="仿宋_GB2312"/>
          <w:sz w:val="32"/>
          <w:szCs w:val="32"/>
        </w:rPr>
        <w:t>个，其中评价等级为“优”项目</w:t>
      </w:r>
      <w:r>
        <w:rPr>
          <w:rFonts w:hint="eastAsia" w:ascii="仿宋_GB2312" w:eastAsia="仿宋_GB2312"/>
          <w:sz w:val="32"/>
          <w:szCs w:val="32"/>
          <w:lang w:val="en-US" w:eastAsia="zh-CN"/>
        </w:rPr>
        <w:t>9</w:t>
      </w:r>
      <w:r>
        <w:rPr>
          <w:rFonts w:hint="eastAsia" w:ascii="仿宋_GB2312" w:eastAsia="仿宋_GB2312"/>
          <w:sz w:val="32"/>
          <w:szCs w:val="32"/>
        </w:rPr>
        <w:t>个，评优率为</w:t>
      </w:r>
      <w:r>
        <w:rPr>
          <w:rFonts w:hint="eastAsia" w:ascii="仿宋_GB2312" w:eastAsia="仿宋_GB2312"/>
          <w:sz w:val="32"/>
          <w:szCs w:val="32"/>
          <w:lang w:val="en-US" w:eastAsia="zh-CN"/>
        </w:rPr>
        <w:t>82.28</w:t>
      </w:r>
      <w:r>
        <w:rPr>
          <w:rFonts w:hint="eastAsia" w:ascii="仿宋_GB2312" w:eastAsia="仿宋_GB2312"/>
          <w:sz w:val="32"/>
          <w:szCs w:val="32"/>
        </w:rPr>
        <w:t>%；评价等级为“良”的项目</w:t>
      </w:r>
      <w:r>
        <w:rPr>
          <w:rFonts w:hint="eastAsia" w:ascii="仿宋_GB2312" w:eastAsia="仿宋_GB2312"/>
          <w:sz w:val="32"/>
          <w:szCs w:val="32"/>
          <w:lang w:val="en-US" w:eastAsia="zh-CN"/>
        </w:rPr>
        <w:t>2</w:t>
      </w:r>
      <w:r>
        <w:rPr>
          <w:rFonts w:hint="eastAsia" w:ascii="仿宋_GB2312" w:eastAsia="仿宋_GB2312"/>
          <w:sz w:val="32"/>
          <w:szCs w:val="32"/>
        </w:rPr>
        <w:t>个，评良率为</w:t>
      </w:r>
      <w:r>
        <w:rPr>
          <w:rFonts w:hint="eastAsia" w:ascii="仿宋_GB2312" w:eastAsia="仿宋_GB2312"/>
          <w:sz w:val="32"/>
          <w:szCs w:val="32"/>
          <w:lang w:val="en-US" w:eastAsia="zh-CN"/>
        </w:rPr>
        <w:t>17.72</w:t>
      </w:r>
      <w:r>
        <w:rPr>
          <w:rFonts w:hint="eastAsia" w:ascii="仿宋_GB2312" w:eastAsia="仿宋_GB2312"/>
          <w:sz w:val="32"/>
          <w:szCs w:val="32"/>
        </w:rPr>
        <w:t>%。详见</w:t>
      </w:r>
      <w:r>
        <w:rPr>
          <w:rFonts w:hint="eastAsia" w:ascii="仿宋_GB2312" w:eastAsia="仿宋_GB2312"/>
          <w:sz w:val="32"/>
          <w:szCs w:val="32"/>
          <w:lang w:val="en-US" w:eastAsia="zh-CN"/>
        </w:rPr>
        <w:t>下</w:t>
      </w:r>
      <w:r>
        <w:rPr>
          <w:rFonts w:hint="eastAsia" w:ascii="仿宋_GB2312" w:eastAsia="仿宋_GB2312"/>
          <w:sz w:val="32"/>
          <w:szCs w:val="32"/>
        </w:rPr>
        <w:t>表。</w:t>
      </w:r>
    </w:p>
    <w:p>
      <w:pPr>
        <w:wordWrap/>
        <w:adjustRightInd/>
        <w:snapToGrid w:val="0"/>
        <w:spacing w:before="0" w:after="0" w:line="360" w:lineRule="auto"/>
        <w:ind w:left="-105" w:leftChars="-50" w:right="-105" w:rightChars="-50" w:firstLine="640" w:firstLineChars="200"/>
        <w:textAlignment w:val="auto"/>
        <w:outlineLvl w:val="9"/>
        <w:rPr>
          <w:rFonts w:hint="eastAsia" w:ascii="仿宋_GB2312" w:eastAsia="仿宋_GB2312"/>
          <w:sz w:val="32"/>
          <w:szCs w:val="32"/>
        </w:rPr>
      </w:pPr>
    </w:p>
    <w:p>
      <w:pPr>
        <w:wordWrap/>
        <w:adjustRightInd/>
        <w:snapToGrid w:val="0"/>
        <w:spacing w:before="0" w:after="0" w:line="360" w:lineRule="auto"/>
        <w:ind w:left="-105" w:leftChars="-50" w:right="-105" w:rightChars="-50"/>
        <w:jc w:val="center"/>
        <w:textAlignment w:val="auto"/>
        <w:outlineLvl w:val="9"/>
        <w:rPr>
          <w:rFonts w:ascii="仿宋_GB2312" w:eastAsia="仿宋_GB2312"/>
          <w:b/>
          <w:sz w:val="32"/>
          <w:szCs w:val="32"/>
        </w:rPr>
      </w:pPr>
      <w:r>
        <w:rPr>
          <w:rFonts w:hint="eastAsia" w:ascii="仿宋_GB2312" w:eastAsia="仿宋_GB2312"/>
          <w:b/>
          <w:sz w:val="32"/>
          <w:szCs w:val="32"/>
          <w:lang w:val="en-US" w:eastAsia="zh-CN"/>
        </w:rPr>
        <w:t>本部门</w:t>
      </w:r>
      <w:r>
        <w:rPr>
          <w:rFonts w:hint="eastAsia" w:ascii="仿宋_GB2312" w:eastAsia="仿宋_GB2312"/>
          <w:b/>
          <w:sz w:val="32"/>
          <w:szCs w:val="32"/>
        </w:rPr>
        <w:t>绩效自评结果统计表</w:t>
      </w:r>
    </w:p>
    <w:tbl>
      <w:tblPr>
        <w:tblStyle w:val="7"/>
        <w:tblW w:w="82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5515"/>
        <w:gridCol w:w="100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hint="eastAsia" w:ascii="黑体" w:eastAsia="黑体" w:cs="黑体"/>
                <w:b w:val="0"/>
                <w:bCs w:val="0"/>
                <w:kern w:val="0"/>
                <w:sz w:val="22"/>
                <w:szCs w:val="22"/>
              </w:rPr>
            </w:pPr>
            <w:r>
              <w:rPr>
                <w:rFonts w:hint="eastAsia" w:ascii="黑体" w:eastAsia="黑体" w:cs="黑体"/>
                <w:b w:val="0"/>
                <w:bCs w:val="0"/>
                <w:kern w:val="0"/>
                <w:sz w:val="22"/>
                <w:szCs w:val="22"/>
              </w:rPr>
              <w:t>序号</w:t>
            </w:r>
          </w:p>
        </w:tc>
        <w:tc>
          <w:tcPr>
            <w:tcW w:w="5515" w:type="dxa"/>
            <w:tcBorders>
              <w:top w:val="single" w:color="auto" w:sz="4" w:space="0"/>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hint="eastAsia" w:ascii="黑体" w:eastAsia="黑体" w:cs="黑体"/>
                <w:b w:val="0"/>
                <w:bCs w:val="0"/>
                <w:kern w:val="0"/>
                <w:sz w:val="22"/>
                <w:szCs w:val="22"/>
              </w:rPr>
            </w:pPr>
            <w:r>
              <w:rPr>
                <w:rFonts w:hint="eastAsia" w:ascii="黑体" w:eastAsia="黑体" w:cs="黑体"/>
                <w:b w:val="0"/>
                <w:bCs w:val="0"/>
                <w:kern w:val="0"/>
                <w:sz w:val="22"/>
                <w:szCs w:val="22"/>
              </w:rPr>
              <w:t>项目名称</w:t>
            </w:r>
          </w:p>
        </w:tc>
        <w:tc>
          <w:tcPr>
            <w:tcW w:w="1000" w:type="dxa"/>
            <w:tcBorders>
              <w:top w:val="single" w:color="auto" w:sz="4" w:space="0"/>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hint="eastAsia" w:ascii="黑体" w:eastAsia="黑体" w:cs="黑体"/>
                <w:b w:val="0"/>
                <w:bCs w:val="0"/>
                <w:kern w:val="0"/>
                <w:sz w:val="22"/>
                <w:szCs w:val="22"/>
              </w:rPr>
            </w:pPr>
            <w:r>
              <w:rPr>
                <w:rFonts w:hint="eastAsia" w:ascii="黑体" w:eastAsia="黑体" w:cs="黑体"/>
                <w:b w:val="0"/>
                <w:bCs w:val="0"/>
                <w:kern w:val="0"/>
                <w:sz w:val="22"/>
                <w:szCs w:val="22"/>
              </w:rPr>
              <w:t>自评得分</w:t>
            </w:r>
          </w:p>
        </w:tc>
        <w:tc>
          <w:tcPr>
            <w:tcW w:w="960" w:type="dxa"/>
            <w:tcBorders>
              <w:top w:val="single" w:color="auto" w:sz="4" w:space="0"/>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hint="eastAsia" w:ascii="黑体" w:eastAsia="黑体" w:cs="黑体"/>
                <w:b w:val="0"/>
                <w:bCs w:val="0"/>
                <w:kern w:val="0"/>
                <w:sz w:val="22"/>
                <w:szCs w:val="22"/>
              </w:rPr>
            </w:pPr>
            <w:r>
              <w:rPr>
                <w:rFonts w:hint="eastAsia" w:ascii="黑体" w:eastAsia="黑体" w:cs="黑体"/>
                <w:b w:val="0"/>
                <w:bCs w:val="0"/>
                <w:kern w:val="0"/>
                <w:sz w:val="22"/>
                <w:szCs w:val="22"/>
              </w:rPr>
              <w:t>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nil"/>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仿宋_GB2312" w:eastAsia="仿宋_GB2312" w:cs="宋体"/>
                <w:kern w:val="0"/>
                <w:sz w:val="22"/>
                <w:szCs w:val="22"/>
              </w:rPr>
            </w:pPr>
            <w:r>
              <w:rPr>
                <w:rFonts w:hint="eastAsia" w:ascii="仿宋_GB2312" w:eastAsia="仿宋_GB2312" w:cs="宋体"/>
                <w:kern w:val="0"/>
                <w:sz w:val="22"/>
                <w:szCs w:val="22"/>
              </w:rPr>
              <w:t>1</w:t>
            </w:r>
          </w:p>
        </w:tc>
        <w:tc>
          <w:tcPr>
            <w:tcW w:w="5515"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left"/>
              <w:textAlignment w:val="auto"/>
              <w:outlineLvl w:val="9"/>
              <w:rPr>
                <w:rFonts w:hint="eastAsia" w:ascii="仿宋_GB2312" w:eastAsia="仿宋_GB2312" w:cs="宋体"/>
                <w:kern w:val="0"/>
                <w:sz w:val="22"/>
                <w:szCs w:val="22"/>
                <w:lang w:eastAsia="zh-CN"/>
              </w:rPr>
            </w:pPr>
            <w:r>
              <w:rPr>
                <w:rFonts w:hint="eastAsia" w:ascii="仿宋_GB2312" w:eastAsia="仿宋_GB2312" w:cs="宋体"/>
                <w:kern w:val="0"/>
                <w:sz w:val="22"/>
                <w:szCs w:val="22"/>
                <w:lang w:eastAsia="zh-CN"/>
              </w:rPr>
              <w:t>乡镇纪委办案经费</w:t>
            </w:r>
          </w:p>
        </w:tc>
        <w:tc>
          <w:tcPr>
            <w:tcW w:w="100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98</w:t>
            </w:r>
          </w:p>
        </w:tc>
        <w:tc>
          <w:tcPr>
            <w:tcW w:w="96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xml:space="preserve"> 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nil"/>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仿宋_GB2312" w:eastAsia="仿宋_GB2312" w:cs="宋体"/>
                <w:kern w:val="0"/>
                <w:sz w:val="22"/>
                <w:szCs w:val="22"/>
              </w:rPr>
            </w:pPr>
            <w:r>
              <w:rPr>
                <w:rFonts w:hint="eastAsia" w:ascii="仿宋_GB2312" w:eastAsia="仿宋_GB2312" w:cs="宋体"/>
                <w:kern w:val="0"/>
                <w:sz w:val="22"/>
                <w:szCs w:val="22"/>
              </w:rPr>
              <w:t>2</w:t>
            </w:r>
          </w:p>
        </w:tc>
        <w:tc>
          <w:tcPr>
            <w:tcW w:w="5515"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left"/>
              <w:textAlignment w:val="auto"/>
              <w:outlineLvl w:val="9"/>
              <w:rPr>
                <w:rFonts w:hint="eastAsia" w:ascii="仿宋_GB2312" w:eastAsia="仿宋_GB2312" w:cs="宋体"/>
                <w:kern w:val="0"/>
                <w:sz w:val="22"/>
                <w:szCs w:val="22"/>
                <w:lang w:eastAsia="zh-CN"/>
              </w:rPr>
            </w:pPr>
            <w:r>
              <w:rPr>
                <w:rFonts w:hint="eastAsia" w:ascii="仿宋_GB2312" w:eastAsia="仿宋_GB2312" w:cs="宋体"/>
                <w:kern w:val="0"/>
                <w:sz w:val="22"/>
                <w:szCs w:val="22"/>
                <w:lang w:eastAsia="zh-CN"/>
              </w:rPr>
              <w:t>专项办公办案经费</w:t>
            </w:r>
          </w:p>
        </w:tc>
        <w:tc>
          <w:tcPr>
            <w:tcW w:w="100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98</w:t>
            </w:r>
          </w:p>
        </w:tc>
        <w:tc>
          <w:tcPr>
            <w:tcW w:w="96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xml:space="preserve"> 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nil"/>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仿宋_GB2312" w:eastAsia="仿宋_GB2312" w:cs="宋体"/>
                <w:kern w:val="0"/>
                <w:sz w:val="22"/>
                <w:szCs w:val="22"/>
              </w:rPr>
            </w:pPr>
            <w:r>
              <w:rPr>
                <w:rFonts w:hint="eastAsia" w:ascii="仿宋_GB2312" w:eastAsia="仿宋_GB2312" w:cs="宋体"/>
                <w:kern w:val="0"/>
                <w:sz w:val="22"/>
                <w:szCs w:val="22"/>
              </w:rPr>
              <w:t>3</w:t>
            </w:r>
          </w:p>
        </w:tc>
        <w:tc>
          <w:tcPr>
            <w:tcW w:w="5515"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left"/>
              <w:textAlignment w:val="auto"/>
              <w:outlineLvl w:val="9"/>
              <w:rPr>
                <w:rFonts w:hint="eastAsia" w:ascii="仿宋_GB2312" w:eastAsia="仿宋_GB2312" w:cs="宋体"/>
                <w:kern w:val="0"/>
                <w:sz w:val="22"/>
                <w:szCs w:val="22"/>
                <w:lang w:eastAsia="zh-CN"/>
              </w:rPr>
            </w:pPr>
            <w:r>
              <w:rPr>
                <w:rFonts w:hint="eastAsia" w:ascii="仿宋_GB2312" w:eastAsia="仿宋_GB2312" w:cs="宋体"/>
                <w:kern w:val="0"/>
                <w:sz w:val="22"/>
                <w:szCs w:val="22"/>
                <w:lang w:eastAsia="zh-CN"/>
              </w:rPr>
              <w:t>纪委监委划转转隶人员经费</w:t>
            </w:r>
          </w:p>
        </w:tc>
        <w:tc>
          <w:tcPr>
            <w:tcW w:w="100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98</w:t>
            </w:r>
          </w:p>
        </w:tc>
        <w:tc>
          <w:tcPr>
            <w:tcW w:w="96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xml:space="preserve"> 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nil"/>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仿宋_GB2312" w:eastAsia="仿宋_GB2312" w:cs="宋体"/>
                <w:kern w:val="0"/>
                <w:sz w:val="22"/>
                <w:szCs w:val="22"/>
              </w:rPr>
            </w:pPr>
            <w:r>
              <w:rPr>
                <w:rFonts w:hint="eastAsia" w:ascii="仿宋_GB2312" w:eastAsia="仿宋_GB2312" w:cs="宋体"/>
                <w:kern w:val="0"/>
                <w:sz w:val="22"/>
                <w:szCs w:val="22"/>
              </w:rPr>
              <w:t>4</w:t>
            </w:r>
          </w:p>
        </w:tc>
        <w:tc>
          <w:tcPr>
            <w:tcW w:w="5515"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left"/>
              <w:textAlignment w:val="auto"/>
              <w:outlineLvl w:val="9"/>
              <w:rPr>
                <w:rFonts w:hint="eastAsia" w:ascii="仿宋_GB2312" w:eastAsia="仿宋_GB2312" w:cs="宋体"/>
                <w:kern w:val="0"/>
                <w:sz w:val="22"/>
                <w:szCs w:val="22"/>
                <w:lang w:eastAsia="zh-CN"/>
              </w:rPr>
            </w:pPr>
            <w:r>
              <w:rPr>
                <w:rFonts w:hint="eastAsia" w:ascii="仿宋_GB2312" w:eastAsia="仿宋_GB2312" w:cs="宋体"/>
                <w:kern w:val="0"/>
                <w:sz w:val="22"/>
                <w:szCs w:val="22"/>
                <w:lang w:eastAsia="zh-CN"/>
              </w:rPr>
              <w:t>两个责任督办考评系统运行费</w:t>
            </w:r>
          </w:p>
        </w:tc>
        <w:tc>
          <w:tcPr>
            <w:tcW w:w="100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98</w:t>
            </w:r>
          </w:p>
        </w:tc>
        <w:tc>
          <w:tcPr>
            <w:tcW w:w="96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xml:space="preserve"> 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nil"/>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仿宋_GB2312" w:eastAsia="仿宋_GB2312" w:cs="宋体"/>
                <w:kern w:val="0"/>
                <w:sz w:val="22"/>
                <w:szCs w:val="22"/>
              </w:rPr>
            </w:pPr>
            <w:r>
              <w:rPr>
                <w:rFonts w:hint="eastAsia" w:ascii="仿宋_GB2312" w:eastAsia="仿宋_GB2312" w:cs="宋体"/>
                <w:kern w:val="0"/>
                <w:sz w:val="22"/>
                <w:szCs w:val="22"/>
              </w:rPr>
              <w:t>5</w:t>
            </w:r>
          </w:p>
        </w:tc>
        <w:tc>
          <w:tcPr>
            <w:tcW w:w="5515"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left"/>
              <w:textAlignment w:val="auto"/>
              <w:outlineLvl w:val="9"/>
              <w:rPr>
                <w:rFonts w:hint="eastAsia" w:ascii="仿宋_GB2312" w:eastAsia="仿宋_GB2312" w:cs="宋体"/>
                <w:kern w:val="0"/>
                <w:sz w:val="22"/>
                <w:szCs w:val="22"/>
                <w:lang w:eastAsia="zh-CN"/>
              </w:rPr>
            </w:pPr>
            <w:r>
              <w:rPr>
                <w:rFonts w:hint="eastAsia" w:ascii="仿宋_GB2312" w:eastAsia="仿宋_GB2312" w:cs="宋体"/>
                <w:kern w:val="0"/>
                <w:sz w:val="22"/>
                <w:szCs w:val="22"/>
                <w:lang w:eastAsia="zh-CN"/>
              </w:rPr>
              <w:t>廉政教育基地张举纪念馆升级改造</w:t>
            </w:r>
          </w:p>
        </w:tc>
        <w:tc>
          <w:tcPr>
            <w:tcW w:w="100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95</w:t>
            </w:r>
          </w:p>
        </w:tc>
        <w:tc>
          <w:tcPr>
            <w:tcW w:w="96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xml:space="preserve"> </w:t>
            </w:r>
            <w:r>
              <w:rPr>
                <w:rFonts w:hint="eastAsia" w:ascii="Times New Roman" w:hAnsi="Times New Roman" w:eastAsia="仿宋_GB2312" w:cs="Times New Roman"/>
                <w:kern w:val="0"/>
                <w:sz w:val="22"/>
                <w:szCs w:val="22"/>
                <w:lang w:eastAsia="zh-CN"/>
              </w:rPr>
              <w:t>良</w:t>
            </w:r>
            <w:r>
              <w:rPr>
                <w:rFonts w:ascii="Times New Roman" w:hAnsi="Times New Roman" w:eastAsia="仿宋_GB2312" w:cs="Times New Roman"/>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nil"/>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仿宋_GB2312" w:eastAsia="仿宋_GB2312" w:cs="宋体"/>
                <w:kern w:val="0"/>
                <w:sz w:val="22"/>
                <w:szCs w:val="22"/>
              </w:rPr>
            </w:pPr>
            <w:r>
              <w:rPr>
                <w:rFonts w:hint="eastAsia" w:ascii="仿宋_GB2312" w:eastAsia="仿宋_GB2312" w:cs="宋体"/>
                <w:kern w:val="0"/>
                <w:sz w:val="22"/>
                <w:szCs w:val="22"/>
              </w:rPr>
              <w:t>6</w:t>
            </w:r>
          </w:p>
        </w:tc>
        <w:tc>
          <w:tcPr>
            <w:tcW w:w="5515"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left"/>
              <w:textAlignment w:val="auto"/>
              <w:outlineLvl w:val="9"/>
              <w:rPr>
                <w:rFonts w:hint="eastAsia" w:ascii="仿宋_GB2312" w:eastAsia="仿宋_GB2312" w:cs="宋体"/>
                <w:kern w:val="0"/>
                <w:sz w:val="22"/>
                <w:szCs w:val="22"/>
                <w:lang w:eastAsia="zh-CN"/>
              </w:rPr>
            </w:pPr>
            <w:r>
              <w:rPr>
                <w:rFonts w:hint="eastAsia" w:ascii="仿宋_GB2312" w:eastAsia="仿宋_GB2312" w:cs="宋体"/>
                <w:kern w:val="0"/>
                <w:sz w:val="22"/>
                <w:szCs w:val="22"/>
                <w:lang w:eastAsia="zh-CN"/>
              </w:rPr>
              <w:t>统筹巡察工作经费</w:t>
            </w:r>
          </w:p>
        </w:tc>
        <w:tc>
          <w:tcPr>
            <w:tcW w:w="100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98</w:t>
            </w:r>
          </w:p>
        </w:tc>
        <w:tc>
          <w:tcPr>
            <w:tcW w:w="96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xml:space="preserve"> 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nil"/>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仿宋_GB2312" w:eastAsia="仿宋_GB2312" w:cs="宋体"/>
                <w:kern w:val="0"/>
                <w:sz w:val="22"/>
                <w:szCs w:val="22"/>
              </w:rPr>
            </w:pPr>
            <w:r>
              <w:rPr>
                <w:rFonts w:hint="eastAsia" w:ascii="仿宋_GB2312" w:eastAsia="仿宋_GB2312" w:cs="宋体"/>
                <w:kern w:val="0"/>
                <w:sz w:val="22"/>
                <w:szCs w:val="22"/>
              </w:rPr>
              <w:t>7</w:t>
            </w:r>
          </w:p>
        </w:tc>
        <w:tc>
          <w:tcPr>
            <w:tcW w:w="5515"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left"/>
              <w:textAlignment w:val="auto"/>
              <w:outlineLvl w:val="9"/>
              <w:rPr>
                <w:rFonts w:ascii="仿宋_GB2312" w:eastAsia="仿宋_GB2312" w:cs="宋体"/>
                <w:kern w:val="0"/>
                <w:sz w:val="22"/>
                <w:szCs w:val="22"/>
                <w:lang w:val="en-US" w:eastAsia="zh-CN"/>
              </w:rPr>
            </w:pPr>
            <w:r>
              <w:rPr>
                <w:rFonts w:hint="eastAsia" w:ascii="仿宋_GB2312" w:eastAsia="仿宋_GB2312" w:cs="宋体"/>
                <w:kern w:val="0"/>
                <w:sz w:val="22"/>
                <w:szCs w:val="22"/>
                <w:lang w:eastAsia="zh-CN"/>
              </w:rPr>
              <w:t>六个专项监督检查工作经费</w:t>
            </w:r>
          </w:p>
        </w:tc>
        <w:tc>
          <w:tcPr>
            <w:tcW w:w="100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98</w:t>
            </w:r>
          </w:p>
        </w:tc>
        <w:tc>
          <w:tcPr>
            <w:tcW w:w="96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xml:space="preserve"> 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nil"/>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仿宋_GB2312" w:eastAsia="仿宋_GB2312" w:cs="宋体"/>
                <w:kern w:val="0"/>
                <w:sz w:val="22"/>
                <w:szCs w:val="22"/>
              </w:rPr>
            </w:pPr>
            <w:r>
              <w:rPr>
                <w:rFonts w:hint="eastAsia" w:ascii="仿宋_GB2312" w:eastAsia="仿宋_GB2312" w:cs="宋体"/>
                <w:kern w:val="0"/>
                <w:sz w:val="22"/>
                <w:szCs w:val="22"/>
              </w:rPr>
              <w:t>8</w:t>
            </w:r>
          </w:p>
        </w:tc>
        <w:tc>
          <w:tcPr>
            <w:tcW w:w="5515"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left"/>
              <w:textAlignment w:val="auto"/>
              <w:outlineLvl w:val="9"/>
              <w:rPr>
                <w:rFonts w:hint="eastAsia" w:ascii="仿宋_GB2312" w:eastAsia="仿宋_GB2312" w:cs="宋体"/>
                <w:kern w:val="0"/>
                <w:sz w:val="22"/>
                <w:szCs w:val="22"/>
                <w:lang w:eastAsia="zh-CN"/>
              </w:rPr>
            </w:pPr>
            <w:r>
              <w:rPr>
                <w:rFonts w:hint="eastAsia" w:ascii="仿宋_GB2312" w:eastAsia="仿宋_GB2312" w:cs="宋体"/>
                <w:kern w:val="0"/>
                <w:sz w:val="22"/>
                <w:szCs w:val="22"/>
                <w:lang w:eastAsia="zh-CN"/>
              </w:rPr>
              <w:t>就业扶持人员</w:t>
            </w:r>
          </w:p>
        </w:tc>
        <w:tc>
          <w:tcPr>
            <w:tcW w:w="100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lang w:val="en-US"/>
              </w:rPr>
            </w:pPr>
            <w:r>
              <w:rPr>
                <w:rFonts w:hint="eastAsia" w:ascii="Times New Roman" w:hAnsi="Times New Roman" w:eastAsia="仿宋_GB2312" w:cs="Times New Roman"/>
                <w:kern w:val="0"/>
                <w:sz w:val="22"/>
                <w:szCs w:val="22"/>
                <w:lang w:val="en-US" w:eastAsia="zh-CN"/>
              </w:rPr>
              <w:t>99</w:t>
            </w:r>
          </w:p>
        </w:tc>
        <w:tc>
          <w:tcPr>
            <w:tcW w:w="96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xml:space="preserve"> 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nil"/>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仿宋_GB2312" w:eastAsia="仿宋_GB2312" w:cs="宋体"/>
                <w:kern w:val="0"/>
                <w:sz w:val="22"/>
                <w:szCs w:val="22"/>
              </w:rPr>
            </w:pPr>
            <w:r>
              <w:rPr>
                <w:rFonts w:hint="eastAsia" w:ascii="仿宋_GB2312" w:eastAsia="仿宋_GB2312" w:cs="宋体"/>
                <w:kern w:val="0"/>
                <w:sz w:val="22"/>
                <w:szCs w:val="22"/>
              </w:rPr>
              <w:t>9</w:t>
            </w:r>
          </w:p>
        </w:tc>
        <w:tc>
          <w:tcPr>
            <w:tcW w:w="5515"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left"/>
              <w:textAlignment w:val="auto"/>
              <w:outlineLvl w:val="9"/>
              <w:rPr>
                <w:rFonts w:hint="eastAsia" w:ascii="仿宋_GB2312" w:eastAsia="仿宋_GB2312" w:cs="宋体"/>
                <w:kern w:val="0"/>
                <w:sz w:val="22"/>
                <w:szCs w:val="22"/>
                <w:lang w:eastAsia="zh-CN"/>
              </w:rPr>
            </w:pPr>
            <w:r>
              <w:rPr>
                <w:rFonts w:hint="eastAsia" w:ascii="仿宋_GB2312" w:eastAsia="仿宋_GB2312" w:cs="宋体"/>
                <w:kern w:val="0"/>
                <w:sz w:val="22"/>
                <w:szCs w:val="22"/>
                <w:lang w:eastAsia="zh-CN"/>
              </w:rPr>
              <w:t>劳动聘用人员</w:t>
            </w:r>
          </w:p>
        </w:tc>
        <w:tc>
          <w:tcPr>
            <w:tcW w:w="100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lang w:val="en-US"/>
              </w:rPr>
            </w:pPr>
            <w:r>
              <w:rPr>
                <w:rFonts w:hint="eastAsia" w:ascii="Times New Roman" w:hAnsi="Times New Roman" w:eastAsia="仿宋_GB2312" w:cs="Times New Roman"/>
                <w:kern w:val="0"/>
                <w:sz w:val="22"/>
                <w:szCs w:val="22"/>
                <w:lang w:val="en-US" w:eastAsia="zh-CN"/>
              </w:rPr>
              <w:t>99</w:t>
            </w:r>
          </w:p>
        </w:tc>
        <w:tc>
          <w:tcPr>
            <w:tcW w:w="960" w:type="dxa"/>
            <w:tcBorders>
              <w:top w:val="nil"/>
              <w:left w:val="nil"/>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xml:space="preserve"> 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仿宋_GB2312" w:eastAsia="仿宋_GB2312" w:cs="宋体"/>
                <w:kern w:val="0"/>
                <w:sz w:val="22"/>
                <w:szCs w:val="22"/>
              </w:rPr>
            </w:pPr>
            <w:r>
              <w:rPr>
                <w:rFonts w:hint="eastAsia" w:ascii="仿宋_GB2312" w:eastAsia="仿宋_GB2312" w:cs="宋体"/>
                <w:kern w:val="0"/>
                <w:sz w:val="22"/>
                <w:szCs w:val="22"/>
              </w:rPr>
              <w:t>10</w:t>
            </w:r>
          </w:p>
        </w:tc>
        <w:tc>
          <w:tcPr>
            <w:tcW w:w="5515" w:type="dxa"/>
            <w:tcBorders>
              <w:top w:val="single" w:color="auto" w:sz="4" w:space="0"/>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left"/>
              <w:textAlignment w:val="auto"/>
              <w:outlineLvl w:val="9"/>
              <w:rPr>
                <w:rFonts w:hint="eastAsia" w:ascii="仿宋_GB2312" w:eastAsia="仿宋_GB2312" w:cs="宋体"/>
                <w:kern w:val="0"/>
                <w:sz w:val="22"/>
                <w:szCs w:val="22"/>
                <w:lang w:eastAsia="zh-CN"/>
              </w:rPr>
            </w:pPr>
            <w:r>
              <w:rPr>
                <w:rFonts w:hint="eastAsia" w:ascii="仿宋_GB2312" w:eastAsia="仿宋_GB2312" w:cs="宋体"/>
                <w:kern w:val="0"/>
                <w:sz w:val="22"/>
                <w:szCs w:val="22"/>
                <w:lang w:eastAsia="zh-CN"/>
              </w:rPr>
              <w:t>领导干部廉政档案电子系统</w:t>
            </w:r>
          </w:p>
        </w:tc>
        <w:tc>
          <w:tcPr>
            <w:tcW w:w="1000" w:type="dxa"/>
            <w:tcBorders>
              <w:top w:val="single" w:color="auto" w:sz="4" w:space="0"/>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95</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xml:space="preserve"> </w:t>
            </w:r>
            <w:r>
              <w:rPr>
                <w:rFonts w:hint="eastAsia" w:ascii="Times New Roman" w:hAnsi="Times New Roman" w:eastAsia="仿宋_GB2312" w:cs="Times New Roman"/>
                <w:kern w:val="0"/>
                <w:sz w:val="22"/>
                <w:szCs w:val="22"/>
                <w:lang w:eastAsia="zh-CN"/>
              </w:rPr>
              <w:t>良</w:t>
            </w:r>
            <w:r>
              <w:rPr>
                <w:rFonts w:ascii="Times New Roman" w:hAnsi="Times New Roman" w:eastAsia="仿宋_GB2312" w:cs="Times New Roman"/>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仿宋_GB2312" w:eastAsia="仿宋_GB2312" w:cs="宋体"/>
                <w:kern w:val="0"/>
                <w:sz w:val="22"/>
                <w:szCs w:val="22"/>
                <w:lang w:val="en-US" w:eastAsia="zh-CN"/>
              </w:rPr>
            </w:pPr>
            <w:r>
              <w:rPr>
                <w:rFonts w:hint="eastAsia" w:ascii="仿宋_GB2312" w:eastAsia="仿宋_GB2312" w:cs="宋体"/>
                <w:kern w:val="0"/>
                <w:sz w:val="22"/>
                <w:szCs w:val="22"/>
                <w:lang w:val="en-US" w:eastAsia="zh-CN"/>
              </w:rPr>
              <w:t>11</w:t>
            </w:r>
          </w:p>
        </w:tc>
        <w:tc>
          <w:tcPr>
            <w:tcW w:w="5515" w:type="dxa"/>
            <w:tcBorders>
              <w:top w:val="single" w:color="auto" w:sz="4" w:space="0"/>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left"/>
              <w:textAlignment w:val="auto"/>
              <w:outlineLvl w:val="9"/>
              <w:rPr>
                <w:rFonts w:hint="eastAsia" w:ascii="仿宋_GB2312" w:eastAsia="仿宋_GB2312" w:cs="宋体"/>
                <w:kern w:val="0"/>
                <w:sz w:val="22"/>
                <w:szCs w:val="22"/>
                <w:lang w:eastAsia="zh-CN"/>
              </w:rPr>
            </w:pPr>
            <w:r>
              <w:rPr>
                <w:rFonts w:hint="eastAsia" w:ascii="仿宋_GB2312" w:eastAsia="仿宋_GB2312" w:cs="宋体"/>
                <w:kern w:val="0"/>
                <w:sz w:val="22"/>
                <w:szCs w:val="22"/>
                <w:lang w:eastAsia="zh-CN"/>
              </w:rPr>
              <w:t>巡察工作经费</w:t>
            </w:r>
          </w:p>
        </w:tc>
        <w:tc>
          <w:tcPr>
            <w:tcW w:w="1000" w:type="dxa"/>
            <w:tcBorders>
              <w:top w:val="single" w:color="auto" w:sz="4" w:space="0"/>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99</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wordWrap/>
              <w:adjustRightInd/>
              <w:spacing w:before="0" w:after="0" w:line="360" w:lineRule="auto"/>
              <w:ind w:left="-105" w:leftChars="-50" w:right="-105" w:rightChars="-50"/>
              <w:jc w:val="center"/>
              <w:textAlignment w:val="auto"/>
              <w:outlineLvl w:val="9"/>
              <w:rPr>
                <w:rFonts w:hint="eastAsia" w:ascii="Times New Roman" w:hAnsi="Times New Roman" w:eastAsia="仿宋_GB2312" w:cs="Times New Roman"/>
                <w:kern w:val="0"/>
                <w:sz w:val="22"/>
                <w:szCs w:val="22"/>
                <w:lang w:eastAsia="zh-CN"/>
              </w:rPr>
            </w:pPr>
            <w:r>
              <w:rPr>
                <w:rFonts w:hint="eastAsia" w:ascii="Times New Roman" w:hAnsi="Times New Roman" w:eastAsia="仿宋_GB2312" w:cs="Times New Roman"/>
                <w:kern w:val="0"/>
                <w:sz w:val="22"/>
                <w:szCs w:val="22"/>
                <w:lang w:eastAsia="zh-CN"/>
              </w:rPr>
              <w:t>优</w:t>
            </w:r>
          </w:p>
        </w:tc>
      </w:tr>
    </w:tbl>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sz w:val="32"/>
          <w:szCs w:val="32"/>
        </w:rPr>
        <w:t>2020年</w:t>
      </w:r>
      <w:r>
        <w:rPr>
          <w:rFonts w:hint="eastAsia" w:ascii="仿宋_GB2312" w:eastAsia="仿宋_GB2312"/>
          <w:sz w:val="32"/>
          <w:szCs w:val="32"/>
          <w:lang w:eastAsia="zh-CN"/>
        </w:rPr>
        <w:t>本部门</w:t>
      </w:r>
      <w:r>
        <w:rPr>
          <w:rFonts w:hint="eastAsia" w:ascii="仿宋_GB2312" w:eastAsia="仿宋_GB2312"/>
          <w:sz w:val="32"/>
          <w:szCs w:val="32"/>
        </w:rPr>
        <w:t>绩效自评项目共</w:t>
      </w:r>
      <w:r>
        <w:rPr>
          <w:rFonts w:hint="eastAsia" w:ascii="仿宋_GB2312" w:eastAsia="仿宋_GB2312"/>
          <w:sz w:val="32"/>
          <w:szCs w:val="32"/>
          <w:lang w:val="en-US" w:eastAsia="zh-CN"/>
        </w:rPr>
        <w:t>11</w:t>
      </w:r>
      <w:r>
        <w:rPr>
          <w:rFonts w:hint="eastAsia" w:ascii="仿宋_GB2312" w:eastAsia="仿宋_GB2312"/>
          <w:sz w:val="32"/>
          <w:szCs w:val="32"/>
        </w:rPr>
        <w:t>个，</w:t>
      </w:r>
      <w:r>
        <w:rPr>
          <w:rFonts w:hint="eastAsia" w:ascii="仿宋_GB2312" w:eastAsia="仿宋_GB2312" w:cs="仿宋_GB2312"/>
          <w:sz w:val="32"/>
          <w:szCs w:val="32"/>
        </w:rPr>
        <w:t>在今年部门决算公开中反映巡察工作经费项目绩效自评结果。</w:t>
      </w:r>
    </w:p>
    <w:p>
      <w:pPr>
        <w:numPr>
          <w:ilvl w:val="0"/>
          <w:numId w:val="2"/>
        </w:numPr>
        <w:adjustRightInd w:val="0"/>
        <w:snapToGrid w:val="0"/>
        <w:spacing w:line="600" w:lineRule="exact"/>
        <w:ind w:left="0" w:firstLine="640" w:firstLineChars="200"/>
        <w:rPr>
          <w:rFonts w:ascii="仿宋_GB2312" w:eastAsia="仿宋_GB2312" w:cs="仿宋_GB2312"/>
          <w:sz w:val="32"/>
          <w:szCs w:val="32"/>
        </w:rPr>
      </w:pPr>
      <w:r>
        <w:rPr>
          <w:rFonts w:hint="eastAsia" w:ascii="仿宋_GB2312" w:eastAsia="仿宋_GB2312" w:cs="仿宋_GB2312"/>
          <w:sz w:val="32"/>
          <w:szCs w:val="32"/>
        </w:rPr>
        <w:t>巡察工作经费项目自评综述：根据年初设定的绩效目标，巡察工作经费项目绩效自评得分为</w:t>
      </w:r>
      <w:r>
        <w:rPr>
          <w:rFonts w:hint="eastAsia" w:ascii="仿宋_GB2312" w:eastAsia="仿宋_GB2312" w:cs="仿宋_GB2312"/>
          <w:sz w:val="32"/>
          <w:szCs w:val="32"/>
          <w:lang w:val="en-US" w:eastAsia="zh-CN"/>
        </w:rPr>
        <w:t>99</w:t>
      </w:r>
      <w:r>
        <w:rPr>
          <w:rFonts w:hint="eastAsia" w:ascii="仿宋_GB2312" w:eastAsia="仿宋_GB2312" w:cs="仿宋_GB2312"/>
          <w:sz w:val="32"/>
          <w:szCs w:val="32"/>
        </w:rPr>
        <w:t>分（绩效自评表附后）。全年预算数为</w:t>
      </w:r>
      <w:r>
        <w:rPr>
          <w:rFonts w:hint="eastAsia" w:ascii="仿宋_GB2312" w:eastAsia="仿宋_GB2312" w:cs="仿宋_GB2312"/>
          <w:sz w:val="32"/>
          <w:szCs w:val="32"/>
          <w:lang w:val="en-US" w:eastAsia="zh-CN"/>
        </w:rPr>
        <w:t>17</w:t>
      </w:r>
      <w:r>
        <w:rPr>
          <w:rFonts w:hint="eastAsia" w:ascii="仿宋_GB2312" w:eastAsia="仿宋_GB2312" w:cs="仿宋_GB2312"/>
          <w:sz w:val="32"/>
          <w:szCs w:val="32"/>
        </w:rPr>
        <w:t>万元，执行数为</w:t>
      </w:r>
      <w:r>
        <w:rPr>
          <w:rFonts w:hint="eastAsia" w:ascii="仿宋_GB2312" w:eastAsia="仿宋_GB2312" w:cs="仿宋_GB2312"/>
          <w:sz w:val="32"/>
          <w:szCs w:val="32"/>
          <w:lang w:val="en-US" w:eastAsia="zh-CN"/>
        </w:rPr>
        <w:t>15.72</w:t>
      </w:r>
      <w:r>
        <w:rPr>
          <w:rFonts w:hint="eastAsia" w:ascii="仿宋_GB2312" w:eastAsia="仿宋_GB2312" w:cs="仿宋_GB2312"/>
          <w:sz w:val="32"/>
          <w:szCs w:val="32"/>
        </w:rPr>
        <w:t>万元，完成预算的</w:t>
      </w:r>
      <w:r>
        <w:rPr>
          <w:rFonts w:hint="eastAsia" w:ascii="仿宋_GB2312" w:eastAsia="仿宋_GB2312" w:cs="仿宋_GB2312"/>
          <w:sz w:val="32"/>
          <w:szCs w:val="32"/>
          <w:lang w:val="en-US" w:eastAsia="zh-CN"/>
        </w:rPr>
        <w:t>92.47%</w:t>
      </w:r>
      <w:r>
        <w:rPr>
          <w:rFonts w:hint="eastAsia" w:ascii="仿宋_GB2312" w:eastAsia="仿宋_GB2312" w:cs="仿宋_GB2312"/>
          <w:sz w:val="32"/>
          <w:szCs w:val="32"/>
        </w:rPr>
        <w:t>。项目绩效目标完成情况：</w:t>
      </w:r>
      <w:r>
        <w:rPr>
          <w:rFonts w:hint="eastAsia" w:ascii="仿宋_GB2312" w:eastAsia="仿宋_GB2312" w:cs="仿宋_GB2312"/>
          <w:sz w:val="32"/>
          <w:szCs w:val="32"/>
          <w:lang w:val="en-US" w:eastAsia="zh-CN"/>
        </w:rPr>
        <w:t>上半年完成了对35个农村专项巡察，完成了3个区直部门统筹巡察</w:t>
      </w:r>
      <w:r>
        <w:rPr>
          <w:rFonts w:hint="eastAsia" w:ascii="仿宋_GB2312" w:eastAsia="仿宋_GB2312" w:cs="仿宋_GB2312"/>
          <w:sz w:val="32"/>
          <w:szCs w:val="32"/>
        </w:rPr>
        <w:t>。发现的主要问题及原因：</w:t>
      </w:r>
      <w:r>
        <w:rPr>
          <w:rFonts w:hint="eastAsia" w:ascii="仿宋_GB2312" w:eastAsia="仿宋_GB2312" w:cs="仿宋_GB2312"/>
          <w:sz w:val="32"/>
          <w:szCs w:val="32"/>
          <w:lang w:eastAsia="zh-CN"/>
        </w:rPr>
        <w:t>无</w:t>
      </w:r>
      <w:r>
        <w:rPr>
          <w:rFonts w:hint="eastAsia" w:ascii="仿宋_GB2312" w:eastAsia="仿宋_GB2312" w:cs="仿宋_GB2312"/>
          <w:sz w:val="32"/>
          <w:szCs w:val="32"/>
        </w:rPr>
        <w:t>。下一步改进措施：</w:t>
      </w:r>
      <w:r>
        <w:rPr>
          <w:rFonts w:hint="eastAsia" w:ascii="仿宋_GB2312" w:eastAsia="仿宋_GB2312" w:cs="仿宋_GB2312"/>
          <w:sz w:val="32"/>
          <w:szCs w:val="32"/>
          <w:lang w:eastAsia="zh-CN"/>
        </w:rPr>
        <w:t>无</w:t>
      </w:r>
      <w:r>
        <w:rPr>
          <w:rFonts w:hint="eastAsia" w:ascii="仿宋_GB2312" w:eastAsia="仿宋_GB2312" w:cs="仿宋_GB2312"/>
          <w:sz w:val="32"/>
          <w:szCs w:val="32"/>
        </w:rPr>
        <w:t>。</w:t>
      </w:r>
    </w:p>
    <w:p>
      <w:pPr>
        <w:rPr>
          <w:rFonts w:hint="eastAsia" w:ascii="仿宋" w:eastAsia="仿宋"/>
          <w:szCs w:val="21"/>
        </w:rPr>
      </w:pPr>
      <w:r>
        <w:rPr>
          <w:rFonts w:hint="eastAsia" w:ascii="仿宋" w:eastAsia="仿宋"/>
          <w:szCs w:val="21"/>
        </w:rPr>
        <w:t>附件1</w:t>
      </w:r>
    </w:p>
    <w:p>
      <w:pPr>
        <w:jc w:val="center"/>
        <w:rPr>
          <w:rFonts w:hint="eastAsia" w:ascii="宋体"/>
          <w:sz w:val="36"/>
          <w:szCs w:val="36"/>
        </w:rPr>
      </w:pPr>
      <w:r>
        <w:rPr>
          <w:rFonts w:hint="eastAsia" w:ascii="宋体"/>
          <w:sz w:val="36"/>
          <w:szCs w:val="36"/>
        </w:rPr>
        <w:t>石家庄市栾城区财政项目支出绩效自评表</w:t>
      </w:r>
    </w:p>
    <w:p>
      <w:pPr>
        <w:jc w:val="center"/>
        <w:rPr>
          <w:rFonts w:hint="eastAsia" w:ascii="仿宋" w:eastAsia="仿宋"/>
          <w:sz w:val="24"/>
        </w:rPr>
      </w:pPr>
      <w:r>
        <w:rPr>
          <w:rFonts w:hint="eastAsia" w:ascii="仿宋" w:eastAsia="仿宋"/>
          <w:sz w:val="24"/>
        </w:rPr>
        <w:t xml:space="preserve">（ </w:t>
      </w:r>
      <w:r>
        <w:rPr>
          <w:rFonts w:hint="eastAsia" w:ascii="仿宋" w:eastAsia="仿宋"/>
          <w:sz w:val="24"/>
          <w:lang w:val="en-US"/>
        </w:rPr>
        <w:t>20</w:t>
      </w:r>
      <w:r>
        <w:rPr>
          <w:rFonts w:hint="eastAsia" w:ascii="仿宋" w:eastAsia="仿宋"/>
          <w:sz w:val="24"/>
          <w:lang w:val="en-US" w:eastAsia="zh-CN"/>
        </w:rPr>
        <w:t>20</w:t>
      </w:r>
      <w:r>
        <w:rPr>
          <w:rFonts w:hint="eastAsia" w:ascii="仿宋" w:eastAsia="仿宋"/>
          <w:sz w:val="24"/>
        </w:rPr>
        <w:t>年度）</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23"/>
        <w:gridCol w:w="357"/>
        <w:gridCol w:w="1260"/>
        <w:gridCol w:w="1440"/>
        <w:gridCol w:w="1260"/>
        <w:gridCol w:w="1080"/>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gridSpan w:val="3"/>
            <w:tcBorders>
              <w:top w:val="single" w:color="auto" w:sz="4" w:space="0"/>
              <w:left w:val="single" w:color="auto" w:sz="4" w:space="0"/>
              <w:bottom w:val="single" w:color="auto" w:sz="4" w:space="0"/>
              <w:right w:val="single" w:color="auto" w:sz="4" w:space="0"/>
            </w:tcBorders>
            <w:noWrap/>
          </w:tcPr>
          <w:p>
            <w:pPr>
              <w:spacing w:line="300" w:lineRule="auto"/>
              <w:jc w:val="center"/>
              <w:rPr>
                <w:rFonts w:hint="eastAsia" w:ascii="宋体"/>
                <w:sz w:val="18"/>
                <w:szCs w:val="18"/>
              </w:rPr>
            </w:pPr>
            <w:r>
              <w:rPr>
                <w:rFonts w:hint="eastAsia" w:ascii="宋体"/>
                <w:sz w:val="18"/>
                <w:szCs w:val="18"/>
              </w:rPr>
              <w:t>项目名称</w:t>
            </w:r>
          </w:p>
        </w:tc>
        <w:tc>
          <w:tcPr>
            <w:tcW w:w="7017" w:type="dxa"/>
            <w:gridSpan w:val="7"/>
            <w:tcBorders>
              <w:top w:val="single" w:color="auto" w:sz="4" w:space="0"/>
              <w:left w:val="single" w:color="auto" w:sz="4" w:space="0"/>
              <w:bottom w:val="single" w:color="auto" w:sz="4" w:space="0"/>
              <w:right w:val="single" w:color="auto" w:sz="4" w:space="0"/>
            </w:tcBorders>
            <w:noWrap/>
          </w:tcPr>
          <w:p>
            <w:pPr>
              <w:spacing w:line="300" w:lineRule="auto"/>
              <w:jc w:val="center"/>
              <w:rPr>
                <w:rFonts w:hint="eastAsia" w:ascii="宋体" w:eastAsia="宋体"/>
                <w:sz w:val="18"/>
                <w:szCs w:val="18"/>
                <w:lang w:val="en-US" w:eastAsia="zh-CN"/>
              </w:rPr>
            </w:pPr>
            <w:r>
              <w:rPr>
                <w:rFonts w:hint="eastAsia" w:ascii="宋体"/>
                <w:sz w:val="18"/>
                <w:szCs w:val="18"/>
                <w:lang w:val="en-US" w:eastAsia="zh-CN"/>
              </w:rPr>
              <w:t>巡察工作经费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gridSpan w:val="3"/>
            <w:tcBorders>
              <w:top w:val="single" w:color="auto" w:sz="4" w:space="0"/>
              <w:left w:val="single" w:color="auto" w:sz="4" w:space="0"/>
              <w:bottom w:val="single" w:color="auto" w:sz="4" w:space="0"/>
              <w:right w:val="single" w:color="auto" w:sz="4" w:space="0"/>
            </w:tcBorders>
            <w:noWrap/>
          </w:tcPr>
          <w:p>
            <w:pPr>
              <w:spacing w:line="300" w:lineRule="auto"/>
              <w:jc w:val="center"/>
              <w:rPr>
                <w:rFonts w:hint="eastAsia" w:ascii="宋体"/>
                <w:sz w:val="18"/>
                <w:szCs w:val="18"/>
              </w:rPr>
            </w:pPr>
            <w:r>
              <w:rPr>
                <w:rFonts w:hint="eastAsia" w:ascii="宋体"/>
                <w:sz w:val="18"/>
                <w:szCs w:val="18"/>
              </w:rPr>
              <w:t>主管部门</w:t>
            </w:r>
          </w:p>
        </w:tc>
        <w:tc>
          <w:tcPr>
            <w:tcW w:w="3057" w:type="dxa"/>
            <w:gridSpan w:val="3"/>
            <w:tcBorders>
              <w:top w:val="single" w:color="auto" w:sz="4" w:space="0"/>
              <w:left w:val="single" w:color="auto" w:sz="4" w:space="0"/>
              <w:bottom w:val="single" w:color="auto" w:sz="4" w:space="0"/>
              <w:right w:val="single" w:color="auto" w:sz="4" w:space="0"/>
            </w:tcBorders>
            <w:noWrap/>
          </w:tcPr>
          <w:p>
            <w:pPr>
              <w:spacing w:line="300" w:lineRule="auto"/>
              <w:jc w:val="center"/>
              <w:rPr>
                <w:rFonts w:hint="eastAsia" w:ascii="宋体" w:eastAsia="宋体"/>
                <w:sz w:val="18"/>
                <w:szCs w:val="18"/>
                <w:lang w:eastAsia="zh-CN"/>
              </w:rPr>
            </w:pPr>
            <w:r>
              <w:rPr>
                <w:rFonts w:hint="eastAsia" w:ascii="宋体"/>
                <w:sz w:val="18"/>
                <w:szCs w:val="18"/>
                <w:lang w:eastAsia="zh-CN"/>
              </w:rPr>
              <w:t>栾城区纪委</w:t>
            </w:r>
          </w:p>
        </w:tc>
        <w:tc>
          <w:tcPr>
            <w:tcW w:w="1260" w:type="dxa"/>
            <w:tcBorders>
              <w:top w:val="single" w:color="auto" w:sz="4" w:space="0"/>
              <w:left w:val="single" w:color="auto" w:sz="4" w:space="0"/>
              <w:bottom w:val="single" w:color="auto" w:sz="4" w:space="0"/>
              <w:right w:val="single" w:color="auto" w:sz="4" w:space="0"/>
            </w:tcBorders>
            <w:noWrap/>
          </w:tcPr>
          <w:p>
            <w:pPr>
              <w:spacing w:line="300" w:lineRule="auto"/>
              <w:jc w:val="center"/>
              <w:rPr>
                <w:rFonts w:hint="eastAsia" w:ascii="宋体"/>
                <w:sz w:val="18"/>
                <w:szCs w:val="18"/>
              </w:rPr>
            </w:pPr>
            <w:r>
              <w:rPr>
                <w:rFonts w:hint="eastAsia" w:ascii="宋体"/>
                <w:sz w:val="18"/>
                <w:szCs w:val="18"/>
              </w:rPr>
              <w:t>实施单位</w:t>
            </w:r>
          </w:p>
        </w:tc>
        <w:tc>
          <w:tcPr>
            <w:tcW w:w="2700" w:type="dxa"/>
            <w:gridSpan w:val="3"/>
            <w:tcBorders>
              <w:top w:val="single" w:color="auto" w:sz="4" w:space="0"/>
              <w:left w:val="single" w:color="auto" w:sz="4" w:space="0"/>
              <w:bottom w:val="single" w:color="auto" w:sz="4" w:space="0"/>
              <w:right w:val="single" w:color="auto" w:sz="4" w:space="0"/>
            </w:tcBorders>
            <w:noWrap/>
          </w:tcPr>
          <w:p>
            <w:pPr>
              <w:spacing w:line="300" w:lineRule="auto"/>
              <w:jc w:val="center"/>
              <w:rPr>
                <w:rFonts w:hint="eastAsia" w:ascii="宋体" w:eastAsia="宋体"/>
                <w:sz w:val="18"/>
                <w:szCs w:val="18"/>
                <w:lang w:eastAsia="zh-CN"/>
              </w:rPr>
            </w:pPr>
            <w:r>
              <w:rPr>
                <w:rFonts w:hint="eastAsia" w:ascii="宋体"/>
                <w:sz w:val="18"/>
                <w:szCs w:val="18"/>
                <w:lang w:eastAsia="zh-CN"/>
              </w:rPr>
              <w:t>栾城区纪委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gridSpan w:val="3"/>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项目资金(万元)</w:t>
            </w:r>
          </w:p>
        </w:tc>
        <w:tc>
          <w:tcPr>
            <w:tcW w:w="1617" w:type="dxa"/>
            <w:gridSpan w:val="2"/>
            <w:tcBorders>
              <w:top w:val="single" w:color="auto" w:sz="4" w:space="0"/>
              <w:left w:val="single" w:color="auto" w:sz="4" w:space="0"/>
              <w:bottom w:val="single" w:color="auto" w:sz="4" w:space="0"/>
              <w:right w:val="single" w:color="auto" w:sz="4" w:space="0"/>
            </w:tcBorders>
            <w:noWrap/>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tcPr>
          <w:p>
            <w:pPr>
              <w:spacing w:line="300" w:lineRule="auto"/>
              <w:jc w:val="center"/>
              <w:rPr>
                <w:rFonts w:hint="eastAsia" w:ascii="宋体"/>
                <w:sz w:val="18"/>
                <w:szCs w:val="18"/>
              </w:rPr>
            </w:pPr>
            <w:r>
              <w:rPr>
                <w:rFonts w:hint="eastAsia" w:ascii="宋体"/>
                <w:sz w:val="18"/>
                <w:szCs w:val="18"/>
              </w:rPr>
              <w:t>全年预算数(A)</w:t>
            </w:r>
          </w:p>
        </w:tc>
        <w:tc>
          <w:tcPr>
            <w:tcW w:w="2340" w:type="dxa"/>
            <w:gridSpan w:val="2"/>
            <w:tcBorders>
              <w:top w:val="single" w:color="auto" w:sz="4" w:space="0"/>
              <w:left w:val="single" w:color="auto" w:sz="4" w:space="0"/>
              <w:bottom w:val="single" w:color="auto" w:sz="4" w:space="0"/>
              <w:right w:val="single" w:color="auto" w:sz="4" w:space="0"/>
            </w:tcBorders>
            <w:noWrap/>
          </w:tcPr>
          <w:p>
            <w:pPr>
              <w:spacing w:line="300" w:lineRule="auto"/>
              <w:jc w:val="center"/>
              <w:rPr>
                <w:rFonts w:hint="eastAsia" w:ascii="宋体"/>
                <w:sz w:val="18"/>
                <w:szCs w:val="18"/>
              </w:rPr>
            </w:pPr>
            <w:r>
              <w:rPr>
                <w:rFonts w:hint="eastAsia" w:ascii="宋体"/>
                <w:sz w:val="18"/>
                <w:szCs w:val="18"/>
              </w:rPr>
              <w:t>全年执行数(B)</w:t>
            </w:r>
          </w:p>
        </w:tc>
        <w:tc>
          <w:tcPr>
            <w:tcW w:w="1620" w:type="dxa"/>
            <w:gridSpan w:val="2"/>
            <w:tcBorders>
              <w:top w:val="single" w:color="auto" w:sz="4" w:space="0"/>
              <w:left w:val="single" w:color="auto" w:sz="4" w:space="0"/>
              <w:bottom w:val="single" w:color="auto" w:sz="4" w:space="0"/>
              <w:right w:val="single" w:color="auto" w:sz="4" w:space="0"/>
            </w:tcBorders>
            <w:noWrap/>
          </w:tcPr>
          <w:p>
            <w:pPr>
              <w:spacing w:line="300" w:lineRule="auto"/>
              <w:jc w:val="center"/>
              <w:rPr>
                <w:rFonts w:hint="eastAsia" w:ascii="宋体"/>
                <w:sz w:val="18"/>
                <w:szCs w:val="18"/>
              </w:rPr>
            </w:pPr>
            <w:r>
              <w:rPr>
                <w:rFonts w:hint="eastAsia" w:ascii="宋体"/>
                <w:sz w:val="18"/>
                <w:szCs w:val="18"/>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gridSpan w:val="3"/>
            <w:vMerge w:val="continue"/>
            <w:tcBorders>
              <w:top w:val="single" w:color="auto" w:sz="4" w:space="0"/>
              <w:left w:val="single" w:color="auto" w:sz="4" w:space="0"/>
              <w:bottom w:val="single" w:color="auto" w:sz="4" w:space="0"/>
              <w:right w:val="single" w:color="auto" w:sz="4" w:space="0"/>
            </w:tcBorders>
            <w:noWrap/>
          </w:tcPr>
          <w:p/>
        </w:tc>
        <w:tc>
          <w:tcPr>
            <w:tcW w:w="1617" w:type="dxa"/>
            <w:gridSpan w:val="2"/>
            <w:tcBorders>
              <w:top w:val="single" w:color="auto" w:sz="4" w:space="0"/>
              <w:left w:val="single" w:color="auto" w:sz="4" w:space="0"/>
              <w:bottom w:val="single" w:color="auto" w:sz="4" w:space="0"/>
              <w:right w:val="single" w:color="auto" w:sz="4" w:space="0"/>
            </w:tcBorders>
            <w:noWrap/>
          </w:tcPr>
          <w:p>
            <w:pPr>
              <w:spacing w:line="300" w:lineRule="auto"/>
              <w:jc w:val="center"/>
              <w:rPr>
                <w:rFonts w:hint="eastAsia" w:ascii="宋体"/>
                <w:sz w:val="18"/>
                <w:szCs w:val="18"/>
              </w:rPr>
            </w:pPr>
            <w:r>
              <w:rPr>
                <w:rFonts w:hint="eastAsia" w:ascii="宋体"/>
                <w:sz w:val="18"/>
                <w:szCs w:val="18"/>
              </w:rPr>
              <w:t>年度资金总额</w:t>
            </w:r>
          </w:p>
        </w:tc>
        <w:tc>
          <w:tcPr>
            <w:tcW w:w="1440" w:type="dxa"/>
            <w:tcBorders>
              <w:top w:val="single" w:color="auto" w:sz="4" w:space="0"/>
              <w:left w:val="single" w:color="auto" w:sz="4" w:space="0"/>
              <w:bottom w:val="single" w:color="auto" w:sz="4" w:space="0"/>
              <w:right w:val="single" w:color="auto" w:sz="4" w:space="0"/>
            </w:tcBorders>
            <w:noWrap/>
          </w:tcPr>
          <w:p>
            <w:pPr>
              <w:spacing w:line="300" w:lineRule="auto"/>
              <w:jc w:val="center"/>
              <w:rPr>
                <w:rFonts w:ascii="宋体" w:eastAsia="宋体"/>
                <w:sz w:val="18"/>
                <w:szCs w:val="18"/>
                <w:lang w:val="en-US" w:eastAsia="zh-CN"/>
              </w:rPr>
            </w:pPr>
            <w:r>
              <w:rPr>
                <w:rFonts w:hint="eastAsia" w:ascii="宋体"/>
                <w:sz w:val="18"/>
                <w:szCs w:val="18"/>
                <w:lang w:val="en-US" w:eastAsia="zh-CN"/>
              </w:rPr>
              <w:t>17</w:t>
            </w:r>
          </w:p>
        </w:tc>
        <w:tc>
          <w:tcPr>
            <w:tcW w:w="2340" w:type="dxa"/>
            <w:gridSpan w:val="2"/>
            <w:tcBorders>
              <w:top w:val="single" w:color="auto" w:sz="4" w:space="0"/>
              <w:left w:val="single" w:color="auto" w:sz="4" w:space="0"/>
              <w:bottom w:val="single" w:color="auto" w:sz="4" w:space="0"/>
              <w:right w:val="single" w:color="auto" w:sz="4" w:space="0"/>
            </w:tcBorders>
            <w:noWrap/>
          </w:tcPr>
          <w:p>
            <w:pPr>
              <w:spacing w:line="300" w:lineRule="auto"/>
              <w:jc w:val="center"/>
              <w:rPr>
                <w:rFonts w:ascii="宋体" w:eastAsia="宋体"/>
                <w:sz w:val="18"/>
                <w:szCs w:val="18"/>
                <w:lang w:val="en-US" w:eastAsia="zh-CN"/>
              </w:rPr>
            </w:pPr>
            <w:r>
              <w:rPr>
                <w:rFonts w:hint="eastAsia" w:ascii="宋体"/>
                <w:sz w:val="18"/>
                <w:szCs w:val="18"/>
                <w:lang w:val="en-US" w:eastAsia="zh-CN"/>
              </w:rPr>
              <w:t>15.72</w:t>
            </w:r>
          </w:p>
        </w:tc>
        <w:tc>
          <w:tcPr>
            <w:tcW w:w="1620" w:type="dxa"/>
            <w:gridSpan w:val="2"/>
            <w:tcBorders>
              <w:top w:val="single" w:color="auto" w:sz="4" w:space="0"/>
              <w:left w:val="single" w:color="auto" w:sz="4" w:space="0"/>
              <w:bottom w:val="single" w:color="auto" w:sz="4" w:space="0"/>
              <w:right w:val="single" w:color="auto" w:sz="4" w:space="0"/>
            </w:tcBorders>
            <w:noWrap/>
          </w:tcPr>
          <w:p>
            <w:pPr>
              <w:spacing w:line="300" w:lineRule="auto"/>
              <w:jc w:val="center"/>
              <w:rPr>
                <w:rFonts w:hint="eastAsia" w:ascii="宋体" w:eastAsia="宋体"/>
                <w:sz w:val="18"/>
                <w:szCs w:val="18"/>
                <w:lang w:val="en-US" w:eastAsia="zh-CN"/>
              </w:rPr>
            </w:pPr>
            <w:r>
              <w:rPr>
                <w:rFonts w:hint="eastAsia" w:ascii="宋体"/>
                <w:sz w:val="18"/>
                <w:szCs w:val="18"/>
                <w:lang w:val="en-US" w:eastAsia="zh-CN"/>
              </w:rPr>
              <w:t>92.47%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gridSpan w:val="3"/>
            <w:vMerge w:val="continue"/>
            <w:tcBorders>
              <w:top w:val="single" w:color="auto" w:sz="4" w:space="0"/>
              <w:left w:val="single" w:color="auto" w:sz="4" w:space="0"/>
              <w:bottom w:val="single" w:color="auto" w:sz="4" w:space="0"/>
              <w:right w:val="single" w:color="auto" w:sz="4" w:space="0"/>
            </w:tcBorders>
            <w:noWrap/>
          </w:tcPr>
          <w:p/>
        </w:tc>
        <w:tc>
          <w:tcPr>
            <w:tcW w:w="1617" w:type="dxa"/>
            <w:gridSpan w:val="2"/>
            <w:tcBorders>
              <w:top w:val="single" w:color="auto" w:sz="4" w:space="0"/>
              <w:left w:val="single" w:color="auto" w:sz="4" w:space="0"/>
              <w:bottom w:val="single" w:color="auto" w:sz="4" w:space="0"/>
              <w:right w:val="single" w:color="auto" w:sz="4" w:space="0"/>
            </w:tcBorders>
            <w:noWrap/>
          </w:tcPr>
          <w:p>
            <w:pPr>
              <w:spacing w:line="300" w:lineRule="auto"/>
              <w:rPr>
                <w:rFonts w:hint="eastAsia" w:ascii="宋体"/>
                <w:sz w:val="18"/>
                <w:szCs w:val="18"/>
              </w:rPr>
            </w:pPr>
            <w:r>
              <w:rPr>
                <w:rFonts w:hint="eastAsia" w:ascii="宋体"/>
                <w:sz w:val="18"/>
                <w:szCs w:val="18"/>
              </w:rPr>
              <w:t>其中:上级资金</w:t>
            </w:r>
          </w:p>
        </w:tc>
        <w:tc>
          <w:tcPr>
            <w:tcW w:w="1440" w:type="dxa"/>
            <w:tcBorders>
              <w:top w:val="single" w:color="auto" w:sz="4" w:space="0"/>
              <w:left w:val="single" w:color="auto" w:sz="4" w:space="0"/>
              <w:bottom w:val="single" w:color="auto" w:sz="4" w:space="0"/>
              <w:right w:val="single" w:color="auto" w:sz="4" w:space="0"/>
            </w:tcBorders>
            <w:noWrap/>
          </w:tcPr>
          <w:p>
            <w:pPr>
              <w:spacing w:line="300" w:lineRule="auto"/>
              <w:rPr>
                <w:rFonts w:hint="eastAsia" w:ascii="宋体"/>
                <w:sz w:val="18"/>
                <w:szCs w:val="18"/>
              </w:rPr>
            </w:pPr>
          </w:p>
        </w:tc>
        <w:tc>
          <w:tcPr>
            <w:tcW w:w="2340" w:type="dxa"/>
            <w:gridSpan w:val="2"/>
            <w:tcBorders>
              <w:top w:val="single" w:color="auto" w:sz="4" w:space="0"/>
              <w:left w:val="single" w:color="auto" w:sz="4" w:space="0"/>
              <w:bottom w:val="single" w:color="auto" w:sz="4" w:space="0"/>
              <w:right w:val="single" w:color="auto" w:sz="4" w:space="0"/>
            </w:tcBorders>
            <w:noWrap/>
          </w:tcPr>
          <w:p>
            <w:pPr>
              <w:spacing w:line="300" w:lineRule="auto"/>
              <w:rPr>
                <w:rFonts w:hint="eastAsia" w:ascii="宋体"/>
                <w:sz w:val="18"/>
                <w:szCs w:val="18"/>
              </w:rPr>
            </w:pPr>
          </w:p>
        </w:tc>
        <w:tc>
          <w:tcPr>
            <w:tcW w:w="1620" w:type="dxa"/>
            <w:gridSpan w:val="2"/>
            <w:tcBorders>
              <w:top w:val="single" w:color="auto" w:sz="4" w:space="0"/>
              <w:left w:val="single" w:color="auto" w:sz="4" w:space="0"/>
              <w:bottom w:val="single" w:color="auto" w:sz="4" w:space="0"/>
              <w:right w:val="single" w:color="auto" w:sz="4" w:space="0"/>
            </w:tcBorders>
            <w:noWrap/>
          </w:tcPr>
          <w:p>
            <w:pPr>
              <w:spacing w:line="300" w:lineRule="auto"/>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gridSpan w:val="3"/>
            <w:vMerge w:val="continue"/>
            <w:tcBorders>
              <w:top w:val="single" w:color="auto" w:sz="4" w:space="0"/>
              <w:left w:val="single" w:color="auto" w:sz="4" w:space="0"/>
              <w:bottom w:val="single" w:color="auto" w:sz="4" w:space="0"/>
              <w:right w:val="single" w:color="auto" w:sz="4" w:space="0"/>
            </w:tcBorders>
            <w:noWrap/>
          </w:tcPr>
          <w:p/>
        </w:tc>
        <w:tc>
          <w:tcPr>
            <w:tcW w:w="1617" w:type="dxa"/>
            <w:gridSpan w:val="2"/>
            <w:tcBorders>
              <w:top w:val="single" w:color="auto" w:sz="4" w:space="0"/>
              <w:left w:val="single" w:color="auto" w:sz="4" w:space="0"/>
              <w:bottom w:val="single" w:color="auto" w:sz="4" w:space="0"/>
              <w:right w:val="single" w:color="auto" w:sz="4" w:space="0"/>
            </w:tcBorders>
            <w:noWrap/>
          </w:tcPr>
          <w:p>
            <w:pPr>
              <w:spacing w:line="300" w:lineRule="auto"/>
              <w:rPr>
                <w:rFonts w:hint="eastAsia" w:ascii="宋体"/>
                <w:sz w:val="18"/>
                <w:szCs w:val="18"/>
              </w:rPr>
            </w:pPr>
            <w:r>
              <w:rPr>
                <w:rFonts w:hint="eastAsia" w:ascii="宋体"/>
                <w:sz w:val="18"/>
                <w:szCs w:val="18"/>
              </w:rPr>
              <w:t xml:space="preserve">     区级资金</w:t>
            </w:r>
          </w:p>
        </w:tc>
        <w:tc>
          <w:tcPr>
            <w:tcW w:w="1440" w:type="dxa"/>
            <w:tcBorders>
              <w:top w:val="single" w:color="auto" w:sz="4" w:space="0"/>
              <w:left w:val="single" w:color="auto" w:sz="4" w:space="0"/>
              <w:bottom w:val="single" w:color="auto" w:sz="4" w:space="0"/>
              <w:right w:val="single" w:color="auto" w:sz="4" w:space="0"/>
            </w:tcBorders>
            <w:noWrap/>
          </w:tcPr>
          <w:p>
            <w:pPr>
              <w:spacing w:line="300" w:lineRule="auto"/>
              <w:jc w:val="center"/>
              <w:rPr>
                <w:rFonts w:ascii="宋体" w:eastAsia="宋体"/>
                <w:sz w:val="18"/>
                <w:szCs w:val="18"/>
                <w:lang w:val="en-US" w:eastAsia="zh-CN"/>
              </w:rPr>
            </w:pPr>
            <w:r>
              <w:rPr>
                <w:rFonts w:hint="eastAsia" w:ascii="宋体"/>
                <w:sz w:val="18"/>
                <w:szCs w:val="18"/>
                <w:lang w:val="en-US" w:eastAsia="zh-CN"/>
              </w:rPr>
              <w:t>17</w:t>
            </w:r>
          </w:p>
        </w:tc>
        <w:tc>
          <w:tcPr>
            <w:tcW w:w="2340" w:type="dxa"/>
            <w:gridSpan w:val="2"/>
            <w:tcBorders>
              <w:top w:val="single" w:color="auto" w:sz="4" w:space="0"/>
              <w:left w:val="single" w:color="auto" w:sz="4" w:space="0"/>
              <w:bottom w:val="single" w:color="auto" w:sz="4" w:space="0"/>
              <w:right w:val="single" w:color="auto" w:sz="4" w:space="0"/>
            </w:tcBorders>
            <w:noWrap/>
          </w:tcPr>
          <w:p>
            <w:pPr>
              <w:spacing w:line="300" w:lineRule="auto"/>
              <w:jc w:val="center"/>
              <w:rPr>
                <w:rFonts w:ascii="宋体" w:eastAsia="宋体"/>
                <w:sz w:val="18"/>
                <w:szCs w:val="18"/>
                <w:lang w:val="en-US" w:eastAsia="zh-CN"/>
              </w:rPr>
            </w:pPr>
            <w:r>
              <w:rPr>
                <w:rFonts w:hint="eastAsia" w:ascii="宋体"/>
                <w:sz w:val="18"/>
                <w:szCs w:val="18"/>
                <w:lang w:val="en-US" w:eastAsia="zh-CN"/>
              </w:rPr>
              <w:t>15.72</w:t>
            </w:r>
          </w:p>
        </w:tc>
        <w:tc>
          <w:tcPr>
            <w:tcW w:w="1620" w:type="dxa"/>
            <w:gridSpan w:val="2"/>
            <w:tcBorders>
              <w:top w:val="single" w:color="auto" w:sz="4" w:space="0"/>
              <w:left w:val="single" w:color="auto" w:sz="4" w:space="0"/>
              <w:bottom w:val="single" w:color="auto" w:sz="4" w:space="0"/>
              <w:right w:val="single" w:color="auto" w:sz="4" w:space="0"/>
            </w:tcBorders>
            <w:noWrap/>
          </w:tcPr>
          <w:p>
            <w:pPr>
              <w:spacing w:line="300" w:lineRule="auto"/>
              <w:jc w:val="center"/>
              <w:rPr>
                <w:rFonts w:hint="eastAsia" w:ascii="宋体" w:eastAsia="宋体"/>
                <w:sz w:val="18"/>
                <w:szCs w:val="18"/>
                <w:lang w:val="en-US" w:eastAsia="zh-CN"/>
              </w:rPr>
            </w:pPr>
            <w:r>
              <w:rPr>
                <w:rFonts w:hint="eastAsia" w:ascii="宋体"/>
                <w:sz w:val="18"/>
                <w:szCs w:val="18"/>
                <w:lang w:val="en-US" w:eastAsia="zh-CN"/>
              </w:rPr>
              <w:t>92.47%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gridSpan w:val="3"/>
            <w:vMerge w:val="continue"/>
            <w:tcBorders>
              <w:top w:val="single" w:color="auto" w:sz="4" w:space="0"/>
              <w:left w:val="single" w:color="auto" w:sz="4" w:space="0"/>
              <w:bottom w:val="single" w:color="auto" w:sz="4" w:space="0"/>
              <w:right w:val="single" w:color="auto" w:sz="4" w:space="0"/>
            </w:tcBorders>
            <w:noWrap/>
          </w:tcPr>
          <w:p/>
        </w:tc>
        <w:tc>
          <w:tcPr>
            <w:tcW w:w="1617" w:type="dxa"/>
            <w:gridSpan w:val="2"/>
            <w:tcBorders>
              <w:top w:val="single" w:color="auto" w:sz="4" w:space="0"/>
              <w:left w:val="single" w:color="auto" w:sz="4" w:space="0"/>
              <w:bottom w:val="single" w:color="auto" w:sz="4" w:space="0"/>
              <w:right w:val="single" w:color="auto" w:sz="4" w:space="0"/>
            </w:tcBorders>
            <w:noWrap/>
          </w:tcPr>
          <w:p>
            <w:pPr>
              <w:spacing w:line="300" w:lineRule="auto"/>
              <w:rPr>
                <w:rFonts w:hint="eastAsia" w:ascii="宋体"/>
                <w:sz w:val="18"/>
                <w:szCs w:val="18"/>
              </w:rPr>
            </w:pPr>
            <w:r>
              <w:rPr>
                <w:rFonts w:hint="eastAsia" w:ascii="宋体"/>
                <w:sz w:val="18"/>
                <w:szCs w:val="18"/>
              </w:rPr>
              <w:t xml:space="preserve">     其他资金(包括结转结余)</w:t>
            </w:r>
          </w:p>
        </w:tc>
        <w:tc>
          <w:tcPr>
            <w:tcW w:w="1440" w:type="dxa"/>
            <w:tcBorders>
              <w:top w:val="single" w:color="auto" w:sz="4" w:space="0"/>
              <w:left w:val="single" w:color="auto" w:sz="4" w:space="0"/>
              <w:bottom w:val="single" w:color="auto" w:sz="4" w:space="0"/>
              <w:right w:val="single" w:color="auto" w:sz="4" w:space="0"/>
            </w:tcBorders>
            <w:noWrap/>
          </w:tcPr>
          <w:p>
            <w:pPr>
              <w:spacing w:line="300" w:lineRule="auto"/>
              <w:rPr>
                <w:rFonts w:hint="eastAsia" w:ascii="宋体"/>
                <w:sz w:val="18"/>
                <w:szCs w:val="18"/>
              </w:rPr>
            </w:pPr>
          </w:p>
        </w:tc>
        <w:tc>
          <w:tcPr>
            <w:tcW w:w="2340" w:type="dxa"/>
            <w:gridSpan w:val="2"/>
            <w:tcBorders>
              <w:top w:val="single" w:color="auto" w:sz="4" w:space="0"/>
              <w:left w:val="single" w:color="auto" w:sz="4" w:space="0"/>
              <w:bottom w:val="single" w:color="auto" w:sz="4" w:space="0"/>
              <w:right w:val="single" w:color="auto" w:sz="4" w:space="0"/>
            </w:tcBorders>
            <w:noWrap/>
          </w:tcPr>
          <w:p>
            <w:pPr>
              <w:spacing w:line="300" w:lineRule="auto"/>
              <w:rPr>
                <w:rFonts w:hint="eastAsia" w:ascii="宋体"/>
                <w:sz w:val="18"/>
                <w:szCs w:val="18"/>
              </w:rPr>
            </w:pPr>
          </w:p>
        </w:tc>
        <w:tc>
          <w:tcPr>
            <w:tcW w:w="1620" w:type="dxa"/>
            <w:gridSpan w:val="2"/>
            <w:tcBorders>
              <w:top w:val="single" w:color="auto" w:sz="4" w:space="0"/>
              <w:left w:val="single" w:color="auto" w:sz="4" w:space="0"/>
              <w:bottom w:val="single" w:color="auto" w:sz="4" w:space="0"/>
              <w:right w:val="single" w:color="auto" w:sz="4" w:space="0"/>
            </w:tcBorders>
            <w:noWrap/>
          </w:tcPr>
          <w:p>
            <w:pPr>
              <w:spacing w:line="300" w:lineRule="auto"/>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年度总体目标</w:t>
            </w:r>
          </w:p>
        </w:tc>
        <w:tc>
          <w:tcPr>
            <w:tcW w:w="4500" w:type="dxa"/>
            <w:gridSpan w:val="5"/>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年初设定目标</w:t>
            </w:r>
          </w:p>
        </w:tc>
        <w:tc>
          <w:tcPr>
            <w:tcW w:w="3960"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4500" w:type="dxa"/>
            <w:gridSpan w:val="5"/>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5"/>
                <w:szCs w:val="15"/>
              </w:rPr>
            </w:pPr>
            <w:r>
              <w:rPr>
                <w:rFonts w:hint="eastAsia" w:ascii="方正书宋_GBK" w:eastAsia="方正书宋_GBK"/>
                <w:sz w:val="16"/>
                <w:szCs w:val="20"/>
              </w:rPr>
              <w:t>设立中共</w:t>
            </w:r>
            <w:r>
              <w:rPr>
                <w:rFonts w:hint="eastAsia" w:ascii="方正书宋_GBK" w:eastAsia="方正书宋_GBK"/>
                <w:sz w:val="16"/>
                <w:szCs w:val="20"/>
                <w:lang w:eastAsia="zh-CN"/>
              </w:rPr>
              <w:t>石家庄市</w:t>
            </w:r>
            <w:r>
              <w:rPr>
                <w:rFonts w:hint="eastAsia" w:ascii="方正书宋_GBK" w:eastAsia="方正书宋_GBK"/>
                <w:sz w:val="16"/>
                <w:szCs w:val="20"/>
              </w:rPr>
              <w:t>栾城区委巡察工作领导小组办公室，为区委巡察工作领导小组的日常办公机构，设在区纪委办公，完成区委巡察工作。</w:t>
            </w:r>
          </w:p>
        </w:tc>
        <w:tc>
          <w:tcPr>
            <w:tcW w:w="3960"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18"/>
                <w:szCs w:val="18"/>
                <w:lang w:val="en-US" w:eastAsia="zh-CN"/>
              </w:rPr>
            </w:pPr>
            <w:r>
              <w:rPr>
                <w:rFonts w:hint="eastAsia" w:ascii="宋体"/>
                <w:sz w:val="18"/>
                <w:szCs w:val="18"/>
                <w:lang w:val="en-US" w:eastAsia="zh-CN"/>
              </w:rPr>
              <w:t>均已完成</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绩      效    指    标</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一级指标</w:t>
            </w: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二级指标</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三级指标</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年度指标值</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全年完成值</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产   出   指   标</w:t>
            </w:r>
          </w:p>
        </w:tc>
        <w:tc>
          <w:tcPr>
            <w:tcW w:w="1080"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数量指标</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5"/>
                <w:szCs w:val="15"/>
              </w:rPr>
            </w:pPr>
            <w:r>
              <w:rPr>
                <w:rFonts w:hint="eastAsia" w:ascii="宋体" w:eastAsia="宋体" w:cs="宋体"/>
                <w:i w:val="0"/>
                <w:iCs w:val="0"/>
                <w:color w:val="000000"/>
                <w:kern w:val="0"/>
                <w:sz w:val="15"/>
                <w:szCs w:val="15"/>
                <w:u w:val="none"/>
                <w:lang w:val="en-US" w:eastAsia="zh-CN"/>
              </w:rPr>
              <w:t>上半年完成了对35个农村专项巡察，完成了3个区直部门统筹巡察</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eastAsia="宋体"/>
                <w:sz w:val="18"/>
                <w:szCs w:val="18"/>
                <w:lang w:val="en-US" w:eastAsia="zh-CN"/>
              </w:rPr>
            </w:pPr>
            <w:r>
              <w:rPr>
                <w:rFonts w:hint="eastAsia" w:ascii="宋体"/>
                <w:sz w:val="18"/>
                <w:szCs w:val="18"/>
                <w:lang w:val="en-US" w:eastAsia="zh-CN"/>
              </w:rPr>
              <w:t>100</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eastAsia="宋体"/>
                <w:sz w:val="18"/>
                <w:szCs w:val="18"/>
                <w:lang w:val="en-US" w:eastAsia="zh-CN"/>
              </w:rPr>
            </w:pPr>
            <w:r>
              <w:rPr>
                <w:rFonts w:hint="eastAsia" w:ascii="宋体"/>
                <w:sz w:val="18"/>
                <w:szCs w:val="18"/>
                <w:lang w:val="en-US" w:eastAsia="zh-CN"/>
              </w:rPr>
              <w:t>100</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18"/>
                <w:szCs w:val="18"/>
                <w:lang w:val="en-US" w:eastAsia="zh-CN"/>
              </w:rPr>
            </w:pPr>
            <w:r>
              <w:rPr>
                <w:rFonts w:hint="eastAsia" w:ascii="宋体"/>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eastAsia="仿宋_GB2312"/>
                <w:sz w:val="15"/>
                <w:szCs w:val="15"/>
                <w:lang w:eastAsia="zh-CN"/>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eastAsia="宋体"/>
                <w:sz w:val="18"/>
                <w:szCs w:val="18"/>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18"/>
                <w:szCs w:val="18"/>
                <w:lang w:val="en-US" w:eastAsia="zh-CN"/>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18"/>
                <w:szCs w:val="18"/>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18"/>
                <w:szCs w:val="18"/>
                <w:lang w:val="en-US" w:eastAsia="zh-CN"/>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质量指标</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eastAsia="仿宋_GB2312"/>
                <w:sz w:val="18"/>
                <w:szCs w:val="18"/>
                <w:lang w:eastAsia="zh-CN"/>
              </w:rPr>
            </w:pPr>
            <w:r>
              <w:rPr>
                <w:rFonts w:hint="eastAsia" w:ascii="宋体" w:hAnsi="宋体" w:eastAsia="仿宋_GB2312"/>
                <w:sz w:val="18"/>
                <w:szCs w:val="18"/>
                <w:lang w:eastAsia="zh-CN"/>
              </w:rPr>
              <w:t>正常开展工作</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sz w:val="18"/>
                <w:szCs w:val="18"/>
                <w:lang w:val="en-US"/>
              </w:rPr>
            </w:pPr>
            <w:r>
              <w:rPr>
                <w:rFonts w:hint="eastAsia" w:ascii="宋体"/>
                <w:sz w:val="18"/>
                <w:szCs w:val="18"/>
                <w:lang w:val="en-US" w:eastAsia="zh-CN"/>
              </w:rPr>
              <w:t>100</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eastAsia="宋体"/>
                <w:sz w:val="18"/>
                <w:szCs w:val="18"/>
                <w:lang w:val="en-US" w:eastAsia="zh-CN"/>
              </w:rPr>
            </w:pPr>
            <w:r>
              <w:rPr>
                <w:rFonts w:hint="eastAsia" w:ascii="宋体"/>
                <w:sz w:val="18"/>
                <w:szCs w:val="18"/>
                <w:lang w:val="en-US" w:eastAsia="zh-CN"/>
              </w:rPr>
              <w:t>100</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color w:val="C0504D"/>
                <w:sz w:val="18"/>
                <w:szCs w:val="18"/>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color w:val="C0504D"/>
                <w:sz w:val="18"/>
                <w:szCs w:val="18"/>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时效指标</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18"/>
                <w:szCs w:val="18"/>
                <w:lang w:val="en-US" w:eastAsia="zh-CN"/>
              </w:rPr>
            </w:pPr>
            <w:r>
              <w:rPr>
                <w:rFonts w:hint="eastAsia" w:ascii="宋体"/>
                <w:sz w:val="18"/>
                <w:szCs w:val="18"/>
                <w:lang w:val="en-US" w:eastAsia="zh-CN"/>
              </w:rPr>
              <w:t>资金已到位，目标已完成</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lang w:val="en-US"/>
              </w:rPr>
            </w:pPr>
            <w:r>
              <w:rPr>
                <w:rFonts w:hint="eastAsia" w:ascii="宋体"/>
                <w:sz w:val="18"/>
                <w:szCs w:val="18"/>
                <w:lang w:val="en-US" w:eastAsia="zh-CN"/>
              </w:rPr>
              <w:t>100</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lang w:val="en-US"/>
              </w:rPr>
            </w:pPr>
            <w:r>
              <w:rPr>
                <w:rFonts w:hint="eastAsia" w:ascii="宋体"/>
                <w:sz w:val="18"/>
                <w:szCs w:val="18"/>
                <w:lang w:val="en-US" w:eastAsia="zh-CN"/>
              </w:rPr>
              <w:t>100</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效   益   指   标</w:t>
            </w:r>
          </w:p>
        </w:tc>
        <w:tc>
          <w:tcPr>
            <w:tcW w:w="1080"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经济效益指标</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对经济发展带来效果</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对经济发展带来效果</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eastAsia="宋体"/>
                <w:sz w:val="18"/>
                <w:szCs w:val="18"/>
                <w:lang w:val="en-US" w:eastAsia="zh-CN"/>
              </w:rPr>
            </w:pPr>
            <w:r>
              <w:rPr>
                <w:rFonts w:hint="eastAsia" w:ascii="宋体"/>
                <w:sz w:val="18"/>
                <w:szCs w:val="18"/>
                <w:lang w:val="en-US" w:eastAsia="zh-CN"/>
              </w:rPr>
              <w:t>98</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eastAsia="宋体"/>
                <w:sz w:val="18"/>
                <w:szCs w:val="18"/>
                <w:lang w:val="en-US" w:eastAsia="zh-CN"/>
              </w:rPr>
            </w:pPr>
            <w:r>
              <w:rPr>
                <w:rFonts w:hint="eastAsia" w:ascii="宋体"/>
                <w:sz w:val="18"/>
                <w:szCs w:val="18"/>
                <w:lang w:val="en-US" w:eastAsia="zh-CN"/>
              </w:rPr>
              <w:t>98</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18"/>
                <w:szCs w:val="18"/>
                <w:lang w:eastAsia="zh-CN"/>
              </w:rPr>
            </w:pPr>
            <w:r>
              <w:rPr>
                <w:rFonts w:hint="eastAsia" w:ascii="宋体"/>
                <w:sz w:val="18"/>
                <w:szCs w:val="1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社会效益指标</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18"/>
                <w:szCs w:val="18"/>
                <w:lang w:val="en-US" w:eastAsia="zh-CN"/>
              </w:rPr>
            </w:pPr>
            <w:r>
              <w:rPr>
                <w:rFonts w:hint="eastAsia" w:ascii="宋体"/>
                <w:sz w:val="18"/>
                <w:szCs w:val="18"/>
                <w:lang w:val="en-US" w:eastAsia="zh-CN"/>
              </w:rPr>
              <w:t>全年预计指标100%</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18"/>
                <w:szCs w:val="18"/>
                <w:lang w:val="en-US" w:eastAsia="zh-CN"/>
              </w:rPr>
            </w:pPr>
            <w:r>
              <w:rPr>
                <w:rFonts w:hint="eastAsia" w:ascii="宋体"/>
                <w:sz w:val="18"/>
                <w:szCs w:val="18"/>
                <w:lang w:val="en-US" w:eastAsia="zh-CN"/>
              </w:rPr>
              <w:t>实际完成指标100%</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sz w:val="18"/>
                <w:szCs w:val="18"/>
                <w:lang w:val="en-US"/>
              </w:rPr>
            </w:pPr>
            <w:r>
              <w:rPr>
                <w:rFonts w:hint="eastAsia" w:ascii="宋体"/>
                <w:sz w:val="18"/>
                <w:szCs w:val="18"/>
                <w:lang w:val="en-US" w:eastAsia="zh-CN"/>
              </w:rPr>
              <w:t>98</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lang w:val="en-US" w:eastAsia="zh-CN"/>
              </w:rPr>
              <w:t>98</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生态效益指标</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lang w:val="en-US" w:eastAsia="zh-CN"/>
              </w:rPr>
              <w:t>全年预计指标100%</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lang w:val="en-US" w:eastAsia="zh-CN"/>
              </w:rPr>
              <w:t>实际完成指标100%</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sz w:val="18"/>
                <w:szCs w:val="18"/>
                <w:lang w:val="en-US"/>
              </w:rPr>
            </w:pPr>
            <w:r>
              <w:rPr>
                <w:rFonts w:hint="eastAsia" w:ascii="宋体"/>
                <w:sz w:val="18"/>
                <w:szCs w:val="18"/>
                <w:lang w:val="en-US" w:eastAsia="zh-CN"/>
              </w:rPr>
              <w:t>98</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lang w:val="en-US" w:eastAsia="zh-CN"/>
              </w:rPr>
              <w:t>98</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可持续影响指标</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lang w:val="en-US" w:eastAsia="zh-CN"/>
              </w:rPr>
              <w:t>全年预计指标100%</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lang w:val="en-US" w:eastAsia="zh-CN"/>
              </w:rPr>
              <w:t>实际完成指标100%</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lang w:val="en-US"/>
              </w:rPr>
            </w:pPr>
            <w:r>
              <w:rPr>
                <w:rFonts w:hint="eastAsia" w:ascii="宋体"/>
                <w:sz w:val="18"/>
                <w:szCs w:val="18"/>
                <w:lang w:val="en-US" w:eastAsia="zh-CN"/>
              </w:rPr>
              <w:t>100</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lang w:val="en-US"/>
              </w:rPr>
            </w:pPr>
            <w:r>
              <w:rPr>
                <w:rFonts w:hint="eastAsia" w:ascii="宋体"/>
                <w:sz w:val="18"/>
                <w:szCs w:val="18"/>
                <w:lang w:val="en-US" w:eastAsia="zh-CN"/>
              </w:rPr>
              <w:t>100</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满意度指标</w:t>
            </w:r>
          </w:p>
        </w:tc>
        <w:tc>
          <w:tcPr>
            <w:tcW w:w="1080"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服务对象满意度指标</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18"/>
                <w:szCs w:val="18"/>
                <w:lang w:val="en-US" w:eastAsia="zh-CN"/>
              </w:rPr>
            </w:pPr>
            <w:r>
              <w:rPr>
                <w:rFonts w:hint="eastAsia" w:ascii="宋体"/>
                <w:sz w:val="18"/>
                <w:szCs w:val="18"/>
                <w:lang w:val="en-US" w:eastAsia="zh-CN"/>
              </w:rPr>
              <w:t>社会满意度95%</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18"/>
                <w:szCs w:val="18"/>
                <w:lang w:val="en-US" w:eastAsia="zh-CN"/>
              </w:rPr>
            </w:pPr>
            <w:r>
              <w:rPr>
                <w:rFonts w:hint="eastAsia" w:ascii="宋体"/>
                <w:sz w:val="18"/>
                <w:szCs w:val="18"/>
                <w:lang w:val="en-US" w:eastAsia="zh-CN"/>
              </w:rPr>
              <w:t>社会满意度95%以上</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sz w:val="18"/>
                <w:szCs w:val="18"/>
                <w:lang w:val="en-US"/>
              </w:rPr>
            </w:pPr>
            <w:r>
              <w:rPr>
                <w:rFonts w:hint="eastAsia" w:ascii="宋体"/>
                <w:sz w:val="18"/>
                <w:szCs w:val="18"/>
                <w:lang w:val="en-US" w:eastAsia="zh-CN"/>
              </w:rPr>
              <w:t>98</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lang w:val="en-US" w:eastAsia="zh-CN"/>
              </w:rPr>
              <w:t>98</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sz w:val="18"/>
                <w:szCs w:val="18"/>
              </w:rPr>
            </w:pPr>
            <w:r>
              <w:rPr>
                <w:rFonts w:hint="eastAsia" w:ascii="宋体"/>
                <w:sz w:val="18"/>
                <w:szCs w:val="18"/>
              </w:rPr>
              <w:t>说明</w:t>
            </w:r>
          </w:p>
        </w:tc>
        <w:tc>
          <w:tcPr>
            <w:tcW w:w="8460" w:type="dxa"/>
            <w:gridSpan w:val="9"/>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18"/>
                <w:szCs w:val="18"/>
                <w:lang w:eastAsia="zh-CN"/>
              </w:rPr>
            </w:pPr>
            <w:r>
              <w:rPr>
                <w:rFonts w:hint="eastAsia" w:ascii="宋体"/>
                <w:sz w:val="18"/>
                <w:szCs w:val="18"/>
                <w:lang w:eastAsia="zh-CN"/>
              </w:rPr>
              <w:t>无</w:t>
            </w:r>
          </w:p>
        </w:tc>
      </w:tr>
    </w:tbl>
    <w:p>
      <w:pPr>
        <w:spacing w:line="300" w:lineRule="auto"/>
        <w:rPr>
          <w:rFonts w:hint="eastAsia" w:ascii="宋体"/>
          <w:sz w:val="13"/>
          <w:szCs w:val="13"/>
        </w:rPr>
      </w:pPr>
      <w:r>
        <w:rPr>
          <w:rFonts w:hint="eastAsia" w:ascii="宋体"/>
          <w:sz w:val="13"/>
          <w:szCs w:val="13"/>
        </w:rPr>
        <w:t>定性指标根据完成情况分为：全部或基本达成预期指标100-80%（含）、部分达成并具有一定效果80-60%（含）、未达成预期指标且效果较差60%-0%。</w:t>
      </w:r>
    </w:p>
    <w:p>
      <w:pPr>
        <w:adjustRightInd w:val="0"/>
        <w:snapToGrid w:val="0"/>
        <w:spacing w:line="600" w:lineRule="exact"/>
        <w:rPr>
          <w:rFonts w:ascii="仿宋_GB2312" w:eastAsia="仿宋_GB2312" w:cs="仿宋_GB2312"/>
          <w:sz w:val="32"/>
          <w:szCs w:val="32"/>
        </w:rPr>
      </w:pPr>
    </w:p>
    <w:p>
      <w:pPr>
        <w:adjustRightInd w:val="0"/>
        <w:snapToGrid w:val="0"/>
        <w:spacing w:line="600" w:lineRule="exact"/>
        <w:ind w:firstLine="643" w:firstLineChars="200"/>
        <w:rPr>
          <w:rFonts w:ascii="仿宋_GB2312" w:eastAsia="仿宋_GB2312" w:cs="仿宋_GB2312"/>
          <w:b/>
          <w:bCs/>
          <w:sz w:val="32"/>
          <w:szCs w:val="32"/>
        </w:rPr>
      </w:pPr>
      <w:r>
        <w:rPr>
          <w:rFonts w:hint="eastAsia" w:ascii="楷体_GB2312" w:eastAsia="楷体_GB2312" w:cs="楷体_GB2312"/>
          <w:b/>
          <w:bCs/>
          <w:sz w:val="32"/>
          <w:szCs w:val="32"/>
        </w:rPr>
        <w:t>（三）财政评价项目绩效评价结</w:t>
      </w:r>
      <w:r>
        <w:rPr>
          <w:rFonts w:hint="eastAsia" w:ascii="楷体_GB2312" w:eastAsia="楷体_GB2312" w:cs="楷体_GB2312"/>
          <w:b/>
          <w:bCs/>
          <w:sz w:val="32"/>
          <w:szCs w:val="32"/>
          <w:highlight w:val="none"/>
        </w:rPr>
        <w:t>果</w:t>
      </w:r>
      <w:r>
        <w:rPr>
          <w:rFonts w:hint="eastAsia" w:ascii="仿宋_GB2312" w:eastAsia="仿宋_GB2312" w:cs="仿宋_GB2312"/>
          <w:sz w:val="32"/>
          <w:szCs w:val="32"/>
          <w:highlight w:val="none"/>
          <w:lang w:eastAsia="zh-CN"/>
        </w:rPr>
        <w:t>：无</w:t>
      </w:r>
      <w:r>
        <w:rPr>
          <w:rFonts w:hint="eastAsia" w:ascii="仿宋_GB2312" w:eastAsia="仿宋_GB2312" w:cs="仿宋_GB2312"/>
          <w:b/>
          <w:bCs/>
          <w:sz w:val="32"/>
          <w:szCs w:val="32"/>
        </w:rPr>
        <w:t>。</w:t>
      </w:r>
    </w:p>
    <w:p>
      <w:pPr>
        <w:keepNext/>
        <w:keepLines/>
        <w:widowControl w:val="0"/>
        <w:snapToGrid w:val="0"/>
        <w:spacing w:line="600" w:lineRule="exact"/>
        <w:ind w:firstLine="640" w:firstLineChars="200"/>
        <w:outlineLvl w:val="1"/>
        <w:rPr>
          <w:rFonts w:ascii="黑体" w:eastAsia="黑体" w:cs="黑体"/>
          <w:b/>
          <w:bCs/>
          <w:sz w:val="32"/>
          <w:szCs w:val="32"/>
        </w:rPr>
      </w:pPr>
      <w:r>
        <w:rPr>
          <w:rFonts w:hint="eastAsia" w:ascii="黑体" w:eastAsia="黑体" w:cs="黑体"/>
          <w:sz w:val="32"/>
          <w:szCs w:val="32"/>
        </w:rPr>
        <w:t>七、机关运行经费情况</w:t>
      </w:r>
    </w:p>
    <w:p>
      <w:pPr>
        <w:adjustRightInd w:val="0"/>
        <w:snapToGrid w:val="0"/>
        <w:spacing w:line="600" w:lineRule="exact"/>
        <w:ind w:firstLine="640" w:firstLineChars="200"/>
        <w:rPr>
          <w:rFonts w:ascii="仿宋_GB2312" w:eastAsia="仿宋_GB2312" w:cs="仿宋_GB2312"/>
          <w:sz w:val="32"/>
          <w:szCs w:val="32"/>
          <w:highlight w:val="yellow"/>
        </w:rPr>
      </w:pPr>
      <w:r>
        <w:rPr>
          <w:rFonts w:hint="eastAsia" w:ascii="仿宋_GB2312" w:eastAsia="仿宋_GB2312" w:cs="仿宋_GB2312"/>
          <w:sz w:val="32"/>
          <w:szCs w:val="32"/>
        </w:rPr>
        <w:t>本部门2020年度机关运行经费支出</w:t>
      </w:r>
      <w:r>
        <w:rPr>
          <w:rFonts w:hint="eastAsia" w:ascii="仿宋_GB2312" w:eastAsia="仿宋_GB2312" w:cs="仿宋_GB2312"/>
          <w:sz w:val="32"/>
          <w:szCs w:val="32"/>
          <w:lang w:val="en-US" w:eastAsia="zh-CN"/>
        </w:rPr>
        <w:t>153.42</w:t>
      </w:r>
      <w:r>
        <w:rPr>
          <w:rFonts w:hint="eastAsia" w:ascii="仿宋_GB2312" w:eastAsia="仿宋_GB2312" w:cs="仿宋_GB2312"/>
          <w:sz w:val="32"/>
          <w:szCs w:val="32"/>
        </w:rPr>
        <w:t>万元，比2019年度减少</w:t>
      </w:r>
      <w:r>
        <w:rPr>
          <w:rFonts w:hint="eastAsia" w:ascii="仿宋_GB2312" w:eastAsia="仿宋_GB2312" w:cs="仿宋_GB2312"/>
          <w:sz w:val="32"/>
          <w:szCs w:val="32"/>
          <w:lang w:val="en-US" w:eastAsia="zh-CN"/>
        </w:rPr>
        <w:t>49.86</w:t>
      </w:r>
      <w:r>
        <w:rPr>
          <w:rFonts w:hint="eastAsia" w:ascii="仿宋_GB2312" w:eastAsia="仿宋_GB2312" w:cs="仿宋_GB2312"/>
          <w:sz w:val="32"/>
          <w:szCs w:val="32"/>
        </w:rPr>
        <w:t>万元，降低</w:t>
      </w:r>
      <w:r>
        <w:rPr>
          <w:rFonts w:hint="eastAsia" w:ascii="仿宋_GB2312" w:eastAsia="仿宋_GB2312" w:cs="仿宋_GB2312"/>
          <w:sz w:val="32"/>
          <w:szCs w:val="32"/>
          <w:lang w:val="en-US" w:eastAsia="zh-CN"/>
        </w:rPr>
        <w:t>24.53</w:t>
      </w:r>
      <w:r>
        <w:rPr>
          <w:rFonts w:hint="eastAsia" w:ascii="仿宋_GB2312" w:eastAsia="仿宋_GB2312" w:cs="仿宋_GB2312"/>
          <w:sz w:val="32"/>
          <w:szCs w:val="32"/>
        </w:rPr>
        <w:t>%。主要原因是</w:t>
      </w:r>
      <w:r>
        <w:rPr>
          <w:rFonts w:hint="eastAsia" w:ascii="仿宋_GB2312" w:eastAsia="仿宋_GB2312" w:cs="仿宋_GB2312"/>
          <w:sz w:val="32"/>
          <w:szCs w:val="32"/>
          <w:lang w:eastAsia="zh-CN"/>
        </w:rPr>
        <w:t>节约支出</w:t>
      </w:r>
      <w:r>
        <w:rPr>
          <w:rFonts w:hint="eastAsia" w:ascii="仿宋_GB2312" w:eastAsia="仿宋_GB2312" w:cs="仿宋_GB2312"/>
          <w:sz w:val="32"/>
          <w:szCs w:val="32"/>
        </w:rPr>
        <w:t>。</w:t>
      </w:r>
    </w:p>
    <w:p>
      <w:pPr>
        <w:keepNext/>
        <w:keepLines/>
        <w:widowControl w:val="0"/>
        <w:snapToGrid w:val="0"/>
        <w:spacing w:line="600" w:lineRule="exact"/>
        <w:ind w:firstLine="640" w:firstLineChars="200"/>
        <w:outlineLvl w:val="2"/>
        <w:rPr>
          <w:rFonts w:ascii="仿宋_GB2312" w:eastAsia="仿宋_GB2312" w:cs="仿宋_GB2312"/>
          <w:sz w:val="32"/>
          <w:szCs w:val="32"/>
        </w:rPr>
      </w:pPr>
      <w:r>
        <w:rPr>
          <w:rFonts w:hint="eastAsia" w:ascii="仿宋_GB2312" w:eastAsia="仿宋_GB2312" w:cs="仿宋_GB2312"/>
          <w:sz w:val="32"/>
          <w:szCs w:val="32"/>
        </w:rPr>
        <w:t>八、政府采购情况</w:t>
      </w:r>
    </w:p>
    <w:p>
      <w:pPr>
        <w:snapToGrid w:val="0"/>
        <w:spacing w:line="600" w:lineRule="exact"/>
        <w:ind w:firstLine="640" w:firstLineChars="200"/>
        <w:jc w:val="left"/>
        <w:rPr>
          <w:rFonts w:ascii="仿宋_GB2312" w:eastAsia="仿宋_GB2312" w:cs="仿宋_GB2312"/>
          <w:sz w:val="32"/>
          <w:szCs w:val="32"/>
          <w:highlight w:val="yellow"/>
        </w:rPr>
      </w:pPr>
      <w:r>
        <w:rPr>
          <w:rFonts w:hint="eastAsia" w:ascii="仿宋_GB2312" w:eastAsia="仿宋_GB2312" w:cs="仿宋_GB2312"/>
          <w:sz w:val="32"/>
          <w:szCs w:val="32"/>
        </w:rPr>
        <w:t>本部门2020年度政府采购支出总额</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万元，从采购类型来看，</w:t>
      </w:r>
      <w:r>
        <w:rPr>
          <w:rFonts w:hint="eastAsia" w:ascii="仿宋_GB2312" w:eastAsia="仿宋_GB2312" w:cs="仿宋_GB2312"/>
          <w:color w:val="000000"/>
          <w:kern w:val="0"/>
          <w:sz w:val="32"/>
          <w:szCs w:val="32"/>
        </w:rPr>
        <w:t>政府采购货物支出</w:t>
      </w:r>
      <w:r>
        <w:rPr>
          <w:rFonts w:hint="eastAsia" w:ascii="仿宋_GB2312" w:eastAsia="仿宋_GB2312" w:cs="仿宋_GB2312"/>
          <w:color w:val="000000"/>
          <w:kern w:val="0"/>
          <w:sz w:val="32"/>
          <w:szCs w:val="32"/>
          <w:lang w:val="en-US" w:eastAsia="zh-CN"/>
        </w:rPr>
        <w:t>0</w:t>
      </w:r>
      <w:r>
        <w:rPr>
          <w:rFonts w:hint="eastAsia" w:ascii="仿宋_GB2312" w:eastAsia="仿宋_GB2312" w:cs="仿宋_GB2312"/>
          <w:color w:val="000000"/>
          <w:kern w:val="0"/>
          <w:sz w:val="32"/>
          <w:szCs w:val="32"/>
        </w:rPr>
        <w:t xml:space="preserve"> 万元、政府采购工程支出</w:t>
      </w:r>
      <w:r>
        <w:rPr>
          <w:rFonts w:hint="eastAsia" w:ascii="仿宋_GB2312" w:eastAsia="仿宋_GB2312" w:cs="仿宋_GB2312"/>
          <w:color w:val="000000"/>
          <w:kern w:val="0"/>
          <w:sz w:val="32"/>
          <w:szCs w:val="32"/>
          <w:lang w:val="en-US" w:eastAsia="zh-CN"/>
        </w:rPr>
        <w:t>0</w:t>
      </w:r>
      <w:r>
        <w:rPr>
          <w:rFonts w:hint="eastAsia" w:ascii="仿宋_GB2312" w:eastAsia="仿宋_GB2312" w:cs="仿宋_GB2312"/>
          <w:color w:val="000000"/>
          <w:kern w:val="0"/>
          <w:sz w:val="32"/>
          <w:szCs w:val="32"/>
        </w:rPr>
        <w:t>万元、政府采购服务支出</w:t>
      </w:r>
      <w:r>
        <w:rPr>
          <w:rFonts w:hint="eastAsia" w:ascii="仿宋_GB2312" w:eastAsia="仿宋_GB2312" w:cs="仿宋_GB2312"/>
          <w:color w:val="000000"/>
          <w:kern w:val="0"/>
          <w:sz w:val="32"/>
          <w:szCs w:val="32"/>
          <w:lang w:val="en-US" w:eastAsia="zh-CN"/>
        </w:rPr>
        <w:t>0</w:t>
      </w:r>
      <w:r>
        <w:rPr>
          <w:rFonts w:hint="eastAsia" w:ascii="仿宋_GB2312" w:eastAsia="仿宋_GB2312" w:cs="仿宋_GB2312"/>
          <w:color w:val="000000"/>
          <w:kern w:val="0"/>
          <w:sz w:val="32"/>
          <w:szCs w:val="32"/>
        </w:rPr>
        <w:t>万元。授予中小企业合同金</w:t>
      </w:r>
      <w:r>
        <w:rPr>
          <w:rFonts w:hint="eastAsia" w:ascii="仿宋_GB2312" w:eastAsia="仿宋_GB2312" w:cs="仿宋_GB2312"/>
          <w:color w:val="000000"/>
          <w:kern w:val="0"/>
          <w:sz w:val="32"/>
          <w:szCs w:val="32"/>
          <w:lang w:val="en-US" w:eastAsia="zh-CN"/>
        </w:rPr>
        <w:t>0</w:t>
      </w:r>
      <w:r>
        <w:rPr>
          <w:rFonts w:hint="eastAsia"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lang w:val="en-US" w:eastAsia="zh-CN"/>
        </w:rPr>
        <w:t>0</w:t>
      </w:r>
      <w:r>
        <w:rPr>
          <w:rFonts w:hint="eastAsia" w:ascii="仿宋_GB2312" w:eastAsia="仿宋_GB2312" w:cs="仿宋_GB2312"/>
          <w:color w:val="000000"/>
          <w:kern w:val="0"/>
          <w:sz w:val="32"/>
          <w:szCs w:val="32"/>
        </w:rPr>
        <w:t>%，其中授予小微企业合同金额</w:t>
      </w:r>
      <w:r>
        <w:rPr>
          <w:rFonts w:hint="eastAsia" w:ascii="仿宋_GB2312" w:eastAsia="仿宋_GB2312" w:cs="仿宋_GB2312"/>
          <w:color w:val="000000"/>
          <w:kern w:val="0"/>
          <w:sz w:val="32"/>
          <w:szCs w:val="32"/>
          <w:lang w:val="en-US" w:eastAsia="zh-CN"/>
        </w:rPr>
        <w:t>0</w:t>
      </w:r>
      <w:r>
        <w:rPr>
          <w:rFonts w:hint="eastAsia" w:ascii="仿宋_GB2312" w:eastAsia="仿宋_GB2312" w:cs="仿宋_GB2312"/>
          <w:color w:val="000000"/>
          <w:kern w:val="0"/>
          <w:sz w:val="32"/>
          <w:szCs w:val="32"/>
        </w:rPr>
        <w:t xml:space="preserve">万元，占政府采购支出总额的 </w:t>
      </w:r>
      <w:r>
        <w:rPr>
          <w:rFonts w:hint="eastAsia" w:ascii="仿宋_GB2312" w:eastAsia="仿宋_GB2312" w:cs="仿宋_GB2312"/>
          <w:color w:val="000000"/>
          <w:kern w:val="0"/>
          <w:sz w:val="32"/>
          <w:szCs w:val="32"/>
          <w:lang w:val="en-US" w:eastAsia="zh-CN"/>
        </w:rPr>
        <w:t>0</w:t>
      </w:r>
      <w:r>
        <w:rPr>
          <w:rFonts w:hint="eastAsia" w:ascii="仿宋_GB2312" w:eastAsia="仿宋_GB2312" w:cs="仿宋_GB2312"/>
          <w:color w:val="000000"/>
          <w:kern w:val="0"/>
          <w:sz w:val="32"/>
          <w:szCs w:val="32"/>
        </w:rPr>
        <w:t>%。</w:t>
      </w:r>
    </w:p>
    <w:p>
      <w:pPr>
        <w:keepNext/>
        <w:keepLines/>
        <w:widowControl w:val="0"/>
        <w:snapToGrid w:val="0"/>
        <w:spacing w:line="600" w:lineRule="exact"/>
        <w:ind w:firstLine="640" w:firstLineChars="200"/>
        <w:outlineLvl w:val="2"/>
        <w:rPr>
          <w:rFonts w:ascii="黑体" w:eastAsia="黑体" w:cs="黑体"/>
          <w:sz w:val="32"/>
          <w:szCs w:val="32"/>
        </w:rPr>
      </w:pPr>
      <w:r>
        <w:rPr>
          <w:rFonts w:hint="eastAsia" w:ascii="黑体" w:eastAsia="黑体" w:cs="黑体"/>
          <w:sz w:val="32"/>
          <w:szCs w:val="32"/>
        </w:rPr>
        <w:t>九、国有资产占用情况</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截至2020年12月31日，本部门共有车辆</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辆，比上年增加</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辆，</w:t>
      </w:r>
      <w:r>
        <w:rPr>
          <w:rFonts w:hint="eastAsia" w:ascii="仿宋_GB2312" w:eastAsia="仿宋_GB2312" w:cs="Wingdings"/>
          <w:color w:val="000000"/>
          <w:sz w:val="32"/>
          <w:szCs w:val="32"/>
          <w:highlight w:val="none"/>
        </w:rPr>
        <w:t>与</w:t>
      </w:r>
      <w:r>
        <w:rPr>
          <w:rFonts w:hint="eastAsia" w:ascii="仿宋_GB2312" w:eastAsia="仿宋_GB2312" w:cs="Wingdings"/>
          <w:color w:val="000000"/>
          <w:sz w:val="32"/>
          <w:szCs w:val="32"/>
          <w:highlight w:val="none"/>
          <w:lang w:eastAsia="zh-CN"/>
        </w:rPr>
        <w:t>去年</w:t>
      </w:r>
      <w:r>
        <w:rPr>
          <w:rFonts w:hint="eastAsia" w:ascii="仿宋_GB2312" w:eastAsia="仿宋_GB2312" w:cs="Wingdings"/>
          <w:color w:val="000000"/>
          <w:sz w:val="32"/>
          <w:szCs w:val="32"/>
          <w:highlight w:val="none"/>
        </w:rPr>
        <w:t>持平</w:t>
      </w:r>
      <w:r>
        <w:rPr>
          <w:rFonts w:hint="eastAsia" w:ascii="仿宋_GB2312" w:eastAsia="仿宋_GB2312" w:cs="Wingdings"/>
          <w:color w:val="000000"/>
          <w:sz w:val="32"/>
          <w:szCs w:val="32"/>
          <w:highlight w:val="none"/>
          <w:lang w:eastAsia="zh-CN"/>
        </w:rPr>
        <w:t>。</w:t>
      </w:r>
      <w:r>
        <w:rPr>
          <w:rFonts w:hint="eastAsia" w:ascii="仿宋_GB2312" w:eastAsia="仿宋_GB2312" w:cs="仿宋_GB2312"/>
          <w:sz w:val="32"/>
          <w:szCs w:val="32"/>
        </w:rPr>
        <w:t>其中，副部（省）级及以上领导用车</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辆，主要领导干部用车</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辆，机要通信用车</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辆，应急保障用车</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辆，执法执勤用车</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辆，特种专业技术用车</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辆，离退休干部用车</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辆，其他用车</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辆，其他用车主要是</w:t>
      </w:r>
      <w:r>
        <w:rPr>
          <w:rFonts w:hint="eastAsia" w:ascii="仿宋_GB2312" w:eastAsia="仿宋_GB2312" w:cs="仿宋_GB2312"/>
          <w:sz w:val="32"/>
          <w:szCs w:val="32"/>
          <w:lang w:eastAsia="zh-CN"/>
        </w:rPr>
        <w:t>：无</w:t>
      </w:r>
      <w:r>
        <w:rPr>
          <w:rFonts w:hint="eastAsia" w:ascii="仿宋_GB2312" w:eastAsia="仿宋_GB2312" w:cs="仿宋_GB2312"/>
          <w:sz w:val="32"/>
          <w:szCs w:val="32"/>
        </w:rPr>
        <w:t>；</w:t>
      </w:r>
    </w:p>
    <w:p>
      <w:pPr>
        <w:adjustRightInd w:val="0"/>
        <w:snapToGrid w:val="0"/>
        <w:spacing w:line="600" w:lineRule="exact"/>
        <w:ind w:firstLine="640" w:firstLineChars="200"/>
        <w:rPr>
          <w:rFonts w:ascii="仿宋_GB2312" w:eastAsia="仿宋_GB2312" w:cs="仿宋_GB2312"/>
          <w:b/>
          <w:bCs/>
          <w:sz w:val="32"/>
          <w:szCs w:val="32"/>
        </w:rPr>
      </w:pPr>
      <w:r>
        <w:rPr>
          <w:rFonts w:hint="eastAsia" w:ascii="仿宋_GB2312" w:eastAsia="仿宋_GB2312" w:cs="仿宋_GB2312"/>
          <w:sz w:val="32"/>
          <w:szCs w:val="32"/>
        </w:rPr>
        <w:t>单位价值50万元以上通用设备</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台（套），比上年增加</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套，</w:t>
      </w:r>
      <w:r>
        <w:rPr>
          <w:rFonts w:hint="eastAsia" w:ascii="仿宋_GB2312" w:eastAsia="仿宋_GB2312" w:cs="Wingdings"/>
          <w:color w:val="000000"/>
          <w:sz w:val="32"/>
          <w:szCs w:val="32"/>
          <w:highlight w:val="none"/>
        </w:rPr>
        <w:t>与</w:t>
      </w:r>
      <w:r>
        <w:rPr>
          <w:rFonts w:hint="eastAsia" w:ascii="仿宋_GB2312" w:eastAsia="仿宋_GB2312" w:cs="Wingdings"/>
          <w:color w:val="000000"/>
          <w:sz w:val="32"/>
          <w:szCs w:val="32"/>
          <w:highlight w:val="none"/>
          <w:lang w:eastAsia="zh-CN"/>
        </w:rPr>
        <w:t>去年</w:t>
      </w:r>
      <w:r>
        <w:rPr>
          <w:rFonts w:hint="eastAsia" w:ascii="仿宋_GB2312" w:eastAsia="仿宋_GB2312" w:cs="Wingdings"/>
          <w:color w:val="000000"/>
          <w:sz w:val="32"/>
          <w:szCs w:val="32"/>
          <w:highlight w:val="none"/>
        </w:rPr>
        <w:t>持平</w:t>
      </w:r>
      <w:r>
        <w:rPr>
          <w:rFonts w:hint="eastAsia" w:ascii="仿宋_GB2312" w:eastAsia="仿宋_GB2312" w:cs="仿宋_GB2312"/>
          <w:sz w:val="32"/>
          <w:szCs w:val="32"/>
        </w:rPr>
        <w:t>，单位价值100万元以上专用设备</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台（套）</w:t>
      </w:r>
      <w:r>
        <w:rPr>
          <w:rFonts w:hint="eastAsia" w:ascii="仿宋_GB2312" w:eastAsia="仿宋_GB2312" w:cs="仿宋_GB2312"/>
          <w:sz w:val="32"/>
          <w:szCs w:val="32"/>
          <w:lang w:eastAsia="zh-CN"/>
        </w:rPr>
        <w:t>，</w:t>
      </w:r>
      <w:r>
        <w:rPr>
          <w:rFonts w:hint="eastAsia" w:ascii="仿宋_GB2312" w:eastAsia="仿宋_GB2312" w:cs="仿宋_GB2312"/>
          <w:sz w:val="32"/>
          <w:szCs w:val="32"/>
        </w:rPr>
        <w:t>比上年增加</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套，</w:t>
      </w:r>
      <w:r>
        <w:rPr>
          <w:rFonts w:hint="eastAsia" w:ascii="仿宋_GB2312" w:eastAsia="仿宋_GB2312" w:cs="Wingdings"/>
          <w:color w:val="000000"/>
          <w:sz w:val="32"/>
          <w:szCs w:val="32"/>
          <w:highlight w:val="none"/>
        </w:rPr>
        <w:t>与</w:t>
      </w:r>
      <w:r>
        <w:rPr>
          <w:rFonts w:hint="eastAsia" w:ascii="仿宋_GB2312" w:eastAsia="仿宋_GB2312" w:cs="Wingdings"/>
          <w:color w:val="000000"/>
          <w:sz w:val="32"/>
          <w:szCs w:val="32"/>
          <w:highlight w:val="none"/>
          <w:lang w:eastAsia="zh-CN"/>
        </w:rPr>
        <w:t>去年</w:t>
      </w:r>
      <w:r>
        <w:rPr>
          <w:rFonts w:hint="eastAsia" w:ascii="仿宋_GB2312" w:eastAsia="仿宋_GB2312" w:cs="Wingdings"/>
          <w:color w:val="000000"/>
          <w:sz w:val="32"/>
          <w:szCs w:val="32"/>
          <w:highlight w:val="none"/>
        </w:rPr>
        <w:t>持平</w:t>
      </w:r>
      <w:r>
        <w:rPr>
          <w:rFonts w:hint="eastAsia" w:ascii="仿宋_GB2312" w:eastAsia="仿宋_GB2312" w:cs="仿宋_GB2312"/>
          <w:sz w:val="32"/>
          <w:szCs w:val="32"/>
        </w:rPr>
        <w:t>。</w:t>
      </w:r>
    </w:p>
    <w:p>
      <w:pPr>
        <w:keepNext/>
        <w:keepLines/>
        <w:widowControl w:val="0"/>
        <w:snapToGrid w:val="0"/>
        <w:spacing w:line="600" w:lineRule="exact"/>
        <w:ind w:firstLine="640" w:firstLineChars="200"/>
        <w:outlineLvl w:val="2"/>
        <w:rPr>
          <w:rFonts w:ascii="黑体" w:eastAsia="黑体" w:cs="黑体"/>
          <w:sz w:val="32"/>
          <w:szCs w:val="32"/>
        </w:rPr>
      </w:pPr>
      <w:r>
        <w:rPr>
          <w:rFonts w:hint="eastAsia" w:ascii="黑体" w:eastAsia="黑体" w:cs="黑体"/>
          <w:sz w:val="32"/>
          <w:szCs w:val="32"/>
        </w:rPr>
        <w:t>十、其他需要说明的情况</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 本部门2020年度未发生</w:t>
      </w:r>
      <w:r>
        <w:rPr>
          <w:rFonts w:hint="eastAsia" w:ascii="仿宋_GB2312" w:eastAsia="仿宋_GB2312" w:cs="仿宋_GB2312"/>
          <w:sz w:val="32"/>
          <w:szCs w:val="32"/>
          <w:highlight w:val="none"/>
        </w:rPr>
        <w:t>政府性基金预算、国有资金经营预算</w:t>
      </w:r>
      <w:r>
        <w:rPr>
          <w:rFonts w:hint="eastAsia" w:ascii="仿宋_GB2312" w:eastAsia="仿宋_GB2312" w:cs="仿宋_GB2312"/>
          <w:sz w:val="32"/>
          <w:szCs w:val="32"/>
        </w:rPr>
        <w:t>收支及结转结余情况，故</w:t>
      </w:r>
      <w:r>
        <w:rPr>
          <w:rFonts w:hint="eastAsia" w:ascii="仿宋_GB2312" w:eastAsia="仿宋_GB2312" w:cs="仿宋_GB2312"/>
          <w:sz w:val="32"/>
          <w:szCs w:val="32"/>
          <w:lang w:eastAsia="zh-CN"/>
        </w:rPr>
        <w:t>公开</w:t>
      </w:r>
      <w:r>
        <w:rPr>
          <w:rFonts w:hint="eastAsia" w:ascii="仿宋_GB2312" w:eastAsia="仿宋_GB2312" w:cs="仿宋_GB2312"/>
          <w:sz w:val="32"/>
          <w:szCs w:val="32"/>
          <w:lang w:val="en-US" w:eastAsia="zh-CN"/>
        </w:rPr>
        <w:t>08表、09</w:t>
      </w:r>
      <w:r>
        <w:rPr>
          <w:rFonts w:hint="eastAsia" w:ascii="仿宋_GB2312" w:eastAsia="仿宋_GB2312" w:cs="仿宋_GB2312"/>
          <w:sz w:val="32"/>
          <w:szCs w:val="32"/>
        </w:rPr>
        <w:t>表以空表列示。</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 由于决算公开表格中金额数值应当保留两位小数，公开数据为四舍五入计算结果，个别数据合计项与分项之和存在小数点后差额，特此说明。</w:t>
      </w:r>
    </w:p>
    <w:p>
      <w:pPr>
        <w:rPr>
          <w:rFonts w:ascii="仿宋_GB2312" w:eastAsia="仿宋_GB2312" w:cs="Arial Black"/>
          <w:sz w:val="32"/>
          <w:szCs w:val="32"/>
        </w:rPr>
      </w:pPr>
    </w:p>
    <w:p>
      <w:pPr>
        <w:rPr>
          <w:rFonts w:ascii="仿宋_GB2312" w:eastAsia="仿宋_GB2312" w:cs="Arial Black"/>
          <w:sz w:val="32"/>
          <w:szCs w:val="32"/>
        </w:rPr>
      </w:pPr>
    </w:p>
    <w:p>
      <w:pPr>
        <w:rPr>
          <w:rFonts w:hint="eastAsia"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r>
        <w:rPr>
          <w:sz w:val="72"/>
        </w:rPr>
        <mc:AlternateContent>
          <mc:Choice Requires="wps">
            <w:drawing>
              <wp:anchor distT="0" distB="0" distL="113665" distR="113665" simplePos="0" relativeHeight="251659264" behindDoc="0" locked="0" layoutInCell="1" allowOverlap="1">
                <wp:simplePos x="0" y="0"/>
                <wp:positionH relativeFrom="column">
                  <wp:posOffset>-1022350</wp:posOffset>
                </wp:positionH>
                <wp:positionV relativeFrom="paragraph">
                  <wp:posOffset>201930</wp:posOffset>
                </wp:positionV>
                <wp:extent cx="7793355" cy="3341370"/>
                <wp:effectExtent l="0" t="0" r="0" b="0"/>
                <wp:wrapNone/>
                <wp:docPr id="24" name="文本框 188"/>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7F7F7F"/>
                          </a:fgClr>
                          <a:bgClr>
                            <a:srgbClr val="FFFFFF"/>
                          </a:bgClr>
                        </a:pattFill>
                        <a:ln w="6350" cap="flat" cmpd="sng">
                          <a:solidFill>
                            <a:srgbClr val="7F7F7F"/>
                          </a:solidFill>
                          <a:prstDash val="solid"/>
                          <a:round/>
                        </a:ln>
                      </wps:spPr>
                      <wps:txbx>
                        <w:txbxContent>
                          <w:p>
                            <w:pPr>
                              <w:widowControl/>
                              <w:jc w:val="center"/>
                              <w:rPr>
                                <w14:textOutline w14:w="9525" w14:cap="flat">
                                  <w14:solidFill>
                                    <w14:srgbClr w14:val="7F7F7F"/>
                                  </w14:solidFill>
                                  <w14:prstDash w14:val="solid"/>
                                  <w14:round/>
                                </w14:textOutline>
                              </w:rPr>
                            </w:pPr>
                            <w:r>
                              <w:rPr>
                                <w:rFonts w:hint="eastAsia" w:ascii="黑体" w:eastAsia="黑体" w:cs="黑体"/>
                                <w:color w:val="000000"/>
                                <w:sz w:val="90"/>
                                <w:szCs w:val="90"/>
                                <w14:shadow w14:blurRad="38100" w14:dist="22860" w14:dir="5400000" w14:sx="100000" w14:sy="100000" w14:algn="tl">
                                  <w14:srgbClr w14:val="000000">
                                    <w14:alpha w14:val="70000"/>
                                  </w14:srgbClr>
                                </w14:shadow>
                              </w:rPr>
                              <w:t>第三部分 相关名词解释</w:t>
                            </w:r>
                          </w:p>
                        </w:txbxContent>
                      </wps:txbx>
                      <wps:bodyPr vert="horz" wrap="square" lIns="91440" tIns="45720" rIns="91440" bIns="45720" anchor="ctr" anchorCtr="0" upright="0">
                        <a:noAutofit/>
                      </wps:bodyPr>
                    </wps:wsp>
                  </a:graphicData>
                </a:graphic>
              </wp:anchor>
            </w:drawing>
          </mc:Choice>
          <mc:Fallback>
            <w:pict>
              <v:rect id="文本框 188" o:spid="_x0000_s1026" o:spt="1" style="position:absolute;left:0pt;margin-left:-80.5pt;margin-top:15.9pt;height:263.1pt;width:613.65pt;z-index:251659264;v-text-anchor:middle;mso-width-relative:page;mso-height-relative:page;" fillcolor="#7F7F7F" filled="t" stroked="t" coordsize="21600,21600" o:gfxdata="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CZdKh2QAAAAwBAAAPAAAAAAAA&#10;AAEAIAAAACIAAABkcnMvZG93bnJldi54bWxQSwECFAAUAAAACACHTuJAmEtNRUoCAACoBAAADgAA&#10;AAAAAAABACAAAAAoAQAAZHJzL2Uyb0RvYy54bWxQSwUGAAAAAAYABgBZAQAA5AUAAAAA&#10;">
                <v:fill type="pattern" on="t" color2="#FFFFFF" o:title="5%" focussize="0,0" r:id="rId11"/>
                <v:stroke weight="0.5pt" color="#7F7F7F" joinstyle="round"/>
                <v:imagedata o:title=""/>
                <o:lock v:ext="edit" aspectratio="f"/>
                <v:textbox>
                  <w:txbxContent>
                    <w:p>
                      <w:pPr>
                        <w:widowControl/>
                        <w:jc w:val="center"/>
                        <w:rPr>
                          <w14:textOutline w14:w="9525" w14:cap="flat">
                            <w14:solidFill>
                              <w14:srgbClr w14:val="7F7F7F"/>
                            </w14:solidFill>
                            <w14:prstDash w14:val="solid"/>
                            <w14:round/>
                          </w14:textOutline>
                        </w:rPr>
                      </w:pPr>
                      <w:r>
                        <w:rPr>
                          <w:rFonts w:hint="eastAsia" w:ascii="黑体" w:eastAsia="黑体" w:cs="黑体"/>
                          <w:color w:val="000000"/>
                          <w:sz w:val="90"/>
                          <w:szCs w:val="90"/>
                          <w14:shadow w14:blurRad="38100" w14:dist="22860" w14:dir="5400000" w14:sx="100000" w14:sy="100000" w14:algn="tl">
                            <w14:srgbClr w14:val="000000">
                              <w14:alpha w14:val="70000"/>
                            </w14:srgbClr>
                          </w14:shadow>
                        </w:rPr>
                        <w:t>第三部分 相关名词解释</w:t>
                      </w:r>
                    </w:p>
                  </w:txbxContent>
                </v:textbox>
              </v:rect>
            </w:pict>
          </mc:Fallback>
        </mc:AlternateContent>
      </w: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rPr>
      </w:pPr>
    </w:p>
    <w:p>
      <w:pPr>
        <w:rPr>
          <w:rFonts w:ascii="仿宋_GB2312" w:eastAsia="仿宋_GB2312" w:cs="Arial Black"/>
          <w:sz w:val="32"/>
          <w:szCs w:val="32"/>
          <w:highlight w:val="yellow"/>
        </w:rPr>
      </w:pPr>
      <w:r>
        <w:rPr>
          <w:rFonts w:hint="eastAsia" w:ascii="仿宋_GB2312" w:eastAsia="仿宋_GB2312" w:cs="Arial Black"/>
          <w:sz w:val="32"/>
          <w:szCs w:val="32"/>
          <w:highlight w:val="yellow"/>
        </w:rPr>
        <w:br w:type="page"/>
      </w:r>
    </w:p>
    <w:p>
      <w:pPr>
        <w:widowControl/>
        <w:spacing w:line="60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（一）财政拨款收入：</w:t>
      </w:r>
      <w:r>
        <w:rPr>
          <w:rFonts w:hint="eastAsia" w:ascii="仿宋_GB2312"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（二）事业收入：</w:t>
      </w:r>
      <w:r>
        <w:rPr>
          <w:rFonts w:hint="eastAsia" w:ascii="仿宋_GB2312"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（三）其他收入：</w:t>
      </w:r>
      <w:r>
        <w:rPr>
          <w:rFonts w:hint="eastAsia" w:ascii="仿宋_GB2312"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（四）年初结转和结余：</w:t>
      </w:r>
      <w:r>
        <w:rPr>
          <w:rFonts w:hint="eastAsia" w:ascii="仿宋_GB2312"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（五）结余分配：</w:t>
      </w:r>
      <w:r>
        <w:rPr>
          <w:rFonts w:hint="eastAsia" w:ascii="仿宋_GB2312"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（六）年末结转和结余：</w:t>
      </w:r>
      <w:r>
        <w:rPr>
          <w:rFonts w:hint="eastAsia" w:ascii="仿宋_GB2312"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（七）基本支出：</w:t>
      </w:r>
      <w:r>
        <w:rPr>
          <w:rFonts w:hint="eastAsia" w:ascii="仿宋_GB2312"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（八）项目支出：</w:t>
      </w:r>
      <w:r>
        <w:rPr>
          <w:rFonts w:hint="eastAsia" w:ascii="仿宋_GB2312"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（九）基本建设支出：</w:t>
      </w:r>
      <w:r>
        <w:rPr>
          <w:rFonts w:hint="eastAsia" w:asci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（十）其他资本性支出：</w:t>
      </w:r>
      <w:r>
        <w:rPr>
          <w:rFonts w:hint="eastAsia" w:asci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（十一）“三公”经费：</w:t>
      </w:r>
      <w:r>
        <w:rPr>
          <w:rFonts w:hint="eastAsia" w:asci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（十二）其他交通费用：</w:t>
      </w:r>
      <w:r>
        <w:rPr>
          <w:rFonts w:hint="eastAsia" w:ascii="仿宋_GB2312"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（十三）公务用车购置：</w:t>
      </w:r>
      <w:r>
        <w:rPr>
          <w:rFonts w:hint="eastAsia" w:ascii="仿宋_GB2312"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（十四）其他交通工具购置：</w:t>
      </w:r>
      <w:r>
        <w:rPr>
          <w:rFonts w:hint="eastAsia" w:ascii="仿宋_GB2312"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（十五）机关运行经费：</w:t>
      </w:r>
      <w:r>
        <w:rPr>
          <w:rFonts w:hint="eastAsia" w:asci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eastAsia="仿宋_GB2312" w:cs="Arial Black"/>
          <w:kern w:val="0"/>
          <w:sz w:val="32"/>
          <w:szCs w:val="32"/>
        </w:rPr>
      </w:pPr>
      <w:r>
        <w:rPr>
          <w:rFonts w:hint="eastAsia" w:ascii="仿宋_GB2312" w:eastAsia="仿宋_GB2312" w:cs="Times New Roman"/>
          <w:b/>
          <w:bCs/>
          <w:color w:val="000000"/>
          <w:kern w:val="0"/>
          <w:sz w:val="32"/>
          <w:szCs w:val="32"/>
        </w:rPr>
        <w:t>（十六）经费形式:</w:t>
      </w:r>
      <w:r>
        <w:rPr>
          <w:rFonts w:hint="eastAsia" w:ascii="仿宋_GB2312" w:eastAsia="仿宋_GB2312" w:cs="Times New Roman"/>
          <w:color w:val="000000"/>
          <w:kern w:val="0"/>
          <w:sz w:val="32"/>
          <w:szCs w:val="32"/>
        </w:rPr>
        <w:t>按照经费来源，</w:t>
      </w:r>
      <w:r>
        <w:rPr>
          <w:rFonts w:hint="eastAsia" w:ascii="仿宋_GB2312"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eastAsia="仿宋_GB2312" w:cs="Arial Black"/>
          <w:kern w:val="0"/>
          <w:sz w:val="32"/>
          <w:szCs w:val="32"/>
        </w:rPr>
      </w:pPr>
    </w:p>
    <w:p>
      <w:pPr>
        <w:tabs>
          <w:tab w:val="left" w:pos="235"/>
        </w:tabs>
        <w:spacing w:line="600" w:lineRule="exact"/>
        <w:ind w:firstLine="640" w:firstLineChars="200"/>
        <w:jc w:val="left"/>
        <w:rPr>
          <w:rFonts w:ascii="仿宋_GB2312" w:eastAsia="仿宋_GB2312" w:cs="Arial Black"/>
          <w:kern w:val="0"/>
          <w:sz w:val="32"/>
          <w:szCs w:val="32"/>
        </w:rPr>
      </w:pPr>
    </w:p>
    <w:p>
      <w:pPr>
        <w:tabs>
          <w:tab w:val="left" w:pos="235"/>
        </w:tabs>
        <w:spacing w:line="600" w:lineRule="exact"/>
        <w:ind w:firstLine="640" w:firstLineChars="200"/>
        <w:jc w:val="left"/>
        <w:rPr>
          <w:rFonts w:ascii="仿宋_GB2312" w:eastAsia="仿宋_GB2312" w:cs="Arial Black"/>
          <w:kern w:val="0"/>
          <w:sz w:val="32"/>
          <w:szCs w:val="32"/>
        </w:rPr>
      </w:pPr>
    </w:p>
    <w:p>
      <w:pPr>
        <w:tabs>
          <w:tab w:val="left" w:pos="235"/>
        </w:tabs>
        <w:spacing w:line="600" w:lineRule="exact"/>
        <w:ind w:firstLine="640" w:firstLineChars="200"/>
        <w:jc w:val="left"/>
        <w:rPr>
          <w:rFonts w:ascii="仿宋_GB2312" w:eastAsia="仿宋_GB2312" w:cs="Arial Black"/>
          <w:kern w:val="0"/>
          <w:sz w:val="32"/>
          <w:szCs w:val="32"/>
        </w:rPr>
      </w:pPr>
    </w:p>
    <w:p>
      <w:pPr>
        <w:tabs>
          <w:tab w:val="left" w:pos="235"/>
        </w:tabs>
        <w:spacing w:line="600" w:lineRule="exact"/>
        <w:ind w:firstLine="640" w:firstLineChars="200"/>
        <w:jc w:val="left"/>
        <w:rPr>
          <w:rFonts w:ascii="仿宋_GB2312" w:eastAsia="仿宋_GB2312" w:cs="Arial Black"/>
          <w:kern w:val="0"/>
          <w:sz w:val="32"/>
          <w:szCs w:val="32"/>
        </w:rPr>
      </w:pPr>
    </w:p>
    <w:p>
      <w:pPr>
        <w:tabs>
          <w:tab w:val="left" w:pos="235"/>
        </w:tabs>
        <w:spacing w:line="600" w:lineRule="exact"/>
        <w:ind w:firstLine="640" w:firstLineChars="200"/>
        <w:jc w:val="left"/>
        <w:rPr>
          <w:rFonts w:ascii="仿宋_GB2312" w:eastAsia="仿宋_GB2312" w:cs="Arial Black"/>
          <w:kern w:val="0"/>
          <w:sz w:val="32"/>
          <w:szCs w:val="32"/>
        </w:rPr>
      </w:pPr>
    </w:p>
    <w:p>
      <w:pPr>
        <w:tabs>
          <w:tab w:val="left" w:pos="235"/>
        </w:tabs>
        <w:spacing w:line="600" w:lineRule="exact"/>
        <w:ind w:firstLine="640" w:firstLineChars="200"/>
        <w:jc w:val="left"/>
        <w:rPr>
          <w:rFonts w:ascii="仿宋_GB2312" w:eastAsia="仿宋_GB2312" w:cs="Arial Black"/>
          <w:kern w:val="0"/>
          <w:sz w:val="32"/>
          <w:szCs w:val="32"/>
        </w:rPr>
      </w:pPr>
    </w:p>
    <w:p>
      <w:pPr>
        <w:tabs>
          <w:tab w:val="left" w:pos="235"/>
        </w:tabs>
        <w:spacing w:line="600" w:lineRule="exact"/>
        <w:ind w:firstLine="640" w:firstLineChars="200"/>
        <w:jc w:val="left"/>
        <w:rPr>
          <w:rFonts w:ascii="仿宋_GB2312" w:eastAsia="仿宋_GB2312" w:cs="Arial Black"/>
          <w:kern w:val="0"/>
          <w:sz w:val="32"/>
          <w:szCs w:val="32"/>
        </w:rPr>
      </w:pPr>
    </w:p>
    <w:p>
      <w:pPr>
        <w:widowControl/>
        <w:spacing w:after="160" w:line="580" w:lineRule="exact"/>
        <w:rPr>
          <w:rFonts w:ascii="Times New Roman" w:hAnsi="Times New Roman" w:eastAsia="黑体" w:cs="Times New Roman"/>
          <w:sz w:val="32"/>
          <w:szCs w:val="32"/>
        </w:rPr>
        <w:sectPr>
          <w:headerReference r:id="rId8" w:type="default"/>
          <w:pgSz w:w="11906" w:h="16838"/>
          <w:pgMar w:top="2098" w:right="1531" w:bottom="1984" w:left="1531" w:header="851" w:footer="992" w:gutter="0"/>
          <w:pgNumType w:fmt="numberInDash"/>
          <w:cols w:space="720" w:num="1"/>
          <w:titlePg/>
          <w:docGrid w:type="lines" w:linePitch="312" w:charSpace="0"/>
        </w:sectPr>
      </w:pPr>
    </w:p>
    <w:p>
      <w:pPr>
        <w:rPr>
          <w:rFonts w:ascii="黑体" w:eastAsia="黑体" w:cs="黑体"/>
          <w:sz w:val="56"/>
          <w:szCs w:val="72"/>
        </w:rPr>
        <w:sectPr>
          <w:type w:val="continuous"/>
          <w:pgSz w:w="11906" w:h="16838"/>
          <w:pgMar w:top="2098" w:right="1531" w:bottom="1984" w:left="1531" w:header="851" w:footer="992" w:gutter="0"/>
          <w:pgNumType w:fmt="numberInDash"/>
          <w:cols w:space="720" w:num="1"/>
          <w:titlePg/>
          <w:docGrid w:type="lines" w:linePitch="312" w:charSpace="0"/>
        </w:sectPr>
      </w:pPr>
      <w:r>
        <w:rPr>
          <w:sz w:val="72"/>
        </w:rPr>
        <mc:AlternateContent>
          <mc:Choice Requires="wps">
            <w:drawing>
              <wp:anchor distT="0" distB="0" distL="113665" distR="113665" simplePos="0" relativeHeight="251659264" behindDoc="0" locked="0" layoutInCell="1" allowOverlap="1">
                <wp:simplePos x="0" y="0"/>
                <wp:positionH relativeFrom="column">
                  <wp:posOffset>-1027430</wp:posOffset>
                </wp:positionH>
                <wp:positionV relativeFrom="paragraph">
                  <wp:posOffset>1151255</wp:posOffset>
                </wp:positionV>
                <wp:extent cx="7793355" cy="3341370"/>
                <wp:effectExtent l="0" t="0" r="0" b="0"/>
                <wp:wrapNone/>
                <wp:docPr id="28" name="文本框 1"/>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7F7F7F"/>
                          </a:fgClr>
                          <a:bgClr>
                            <a:srgbClr val="FFFFFF"/>
                          </a:bgClr>
                        </a:pattFill>
                        <a:ln w="12700" cap="flat" cmpd="sng">
                          <a:solidFill>
                            <a:srgbClr val="A6A6A6"/>
                          </a:solidFill>
                          <a:prstDash val="solid"/>
                          <a:round/>
                        </a:ln>
                      </wps:spPr>
                      <wps:txbx>
                        <w:txbxContent>
                          <w:p>
                            <w:pPr>
                              <w:widowControl/>
                              <w:jc w:val="center"/>
                              <w:rPr>
                                <w:rFonts w:ascii="黑体" w:eastAsia="黑体" w:cs="黑体"/>
                                <w:color w:val="000000"/>
                                <w:sz w:val="90"/>
                                <w:szCs w:val="90"/>
                                <w14:shadow w14:blurRad="38100" w14:dist="22860" w14:dir="5400000" w14:sx="100000" w14:sy="100000" w14:algn="tl">
                                  <w14:srgbClr w14:val="000000">
                                    <w14:alpha w14:val="70000"/>
                                  </w14:srgbClr>
                                </w14:shadow>
                              </w:rPr>
                            </w:pPr>
                            <w:r>
                              <w:rPr>
                                <w:rFonts w:hint="eastAsia" w:ascii="黑体" w:eastAsia="黑体" w:cs="黑体"/>
                                <w:color w:val="000000"/>
                                <w:sz w:val="90"/>
                                <w:szCs w:val="90"/>
                                <w14:shadow w14:blurRad="38100" w14:dist="22860" w14:dir="5400000" w14:sx="100000" w14:sy="100000" w14:algn="tl">
                                  <w14:srgbClr w14:val="000000">
                                    <w14:alpha w14:val="70000"/>
                                  </w14:srgbClr>
                                </w14:shadow>
                              </w:rPr>
                              <w:t xml:space="preserve">第四部分 </w:t>
                            </w:r>
                          </w:p>
                          <w:p>
                            <w:pPr>
                              <w:widowControl/>
                              <w:jc w:val="center"/>
                              <w:rPr>
                                <w14:textOutline w14:w="9525" w14:cap="flat">
                                  <w14:solidFill>
                                    <w14:srgbClr w14:val="7F7F7F"/>
                                  </w14:solidFill>
                                  <w14:prstDash w14:val="solid"/>
                                  <w14:round/>
                                </w14:textOutline>
                              </w:rPr>
                            </w:pPr>
                            <w:r>
                              <w:rPr>
                                <w:rFonts w:hint="eastAsia" w:ascii="黑体" w:eastAsia="黑体" w:cs="黑体"/>
                                <w:color w:val="000000"/>
                                <w:sz w:val="90"/>
                                <w:szCs w:val="90"/>
                                <w14:shadow w14:blurRad="38100" w14:dist="22860" w14:dir="5400000" w14:sx="100000" w14:sy="100000" w14:algn="tl">
                                  <w14:srgbClr w14:val="000000">
                                    <w14:alpha w14:val="70000"/>
                                  </w14:srgbClr>
                                </w14:shadow>
                              </w:rPr>
                              <w:t>2020年度部门决算报表</w:t>
                            </w:r>
                          </w:p>
                          <w:p/>
                        </w:txbxContent>
                      </wps:txbx>
                      <wps:bodyPr vert="horz" wrap="square" lIns="91440" tIns="45720" rIns="91440" bIns="45720" anchor="ctr" anchorCtr="0" upright="0">
                        <a:noAutofit/>
                      </wps:bodyPr>
                    </wps:wsp>
                  </a:graphicData>
                </a:graphic>
              </wp:anchor>
            </w:drawing>
          </mc:Choice>
          <mc:Fallback>
            <w:pict>
              <v:rect id="文本框 1" o:spid="_x0000_s1026" o:spt="1" style="position:absolute;left:0pt;margin-left:-80.9pt;margin-top:90.65pt;height:263.1pt;width:613.65pt;z-index:251659264;v-text-anchor:middle;mso-width-relative:page;mso-height-relative:page;" fillcolor="#7F7F7F" filled="t" stroked="t" coordsize="21600,21600" o:gfxdata="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kAo6vZAAAADQEAAA8AAAAA&#10;AAAAAQAgAAAAIgAAAGRycy9kb3ducmV2LnhtbFBLAQIUABQAAAAIAIdO4kBc0TqRTAIAAKcEAAAO&#10;AAAAAAAAAAEAIAAAACgBAABkcnMvZTJvRG9jLnhtbFBLBQYAAAAABgAGAFkBAADmBQAAAAA=&#10;">
                <v:fill type="pattern" on="t" color2="#FFFFFF" o:title="5%" focussize="0,0" r:id="rId11"/>
                <v:stroke weight="1pt" color="#A6A6A6" joinstyle="round"/>
                <v:imagedata o:title=""/>
                <o:lock v:ext="edit" aspectratio="f"/>
                <v:textbox>
                  <w:txbxContent>
                    <w:p>
                      <w:pPr>
                        <w:widowControl/>
                        <w:jc w:val="center"/>
                        <w:rPr>
                          <w:rFonts w:ascii="黑体" w:eastAsia="黑体" w:cs="黑体"/>
                          <w:color w:val="000000"/>
                          <w:sz w:val="90"/>
                          <w:szCs w:val="90"/>
                          <w14:shadow w14:blurRad="38100" w14:dist="22860" w14:dir="5400000" w14:sx="100000" w14:sy="100000" w14:algn="tl">
                            <w14:srgbClr w14:val="000000">
                              <w14:alpha w14:val="70000"/>
                            </w14:srgbClr>
                          </w14:shadow>
                        </w:rPr>
                      </w:pPr>
                      <w:r>
                        <w:rPr>
                          <w:rFonts w:hint="eastAsia" w:ascii="黑体" w:eastAsia="黑体" w:cs="黑体"/>
                          <w:color w:val="000000"/>
                          <w:sz w:val="90"/>
                          <w:szCs w:val="90"/>
                          <w14:shadow w14:blurRad="38100" w14:dist="22860" w14:dir="5400000" w14:sx="100000" w14:sy="100000" w14:algn="tl">
                            <w14:srgbClr w14:val="000000">
                              <w14:alpha w14:val="70000"/>
                            </w14:srgbClr>
                          </w14:shadow>
                        </w:rPr>
                        <w:t xml:space="preserve">第四部分 </w:t>
                      </w:r>
                    </w:p>
                    <w:p>
                      <w:pPr>
                        <w:widowControl/>
                        <w:jc w:val="center"/>
                        <w:rPr>
                          <w14:textOutline w14:w="9525" w14:cap="flat">
                            <w14:solidFill>
                              <w14:srgbClr w14:val="7F7F7F"/>
                            </w14:solidFill>
                            <w14:prstDash w14:val="solid"/>
                            <w14:round/>
                          </w14:textOutline>
                        </w:rPr>
                      </w:pPr>
                      <w:r>
                        <w:rPr>
                          <w:rFonts w:hint="eastAsia" w:ascii="黑体" w:eastAsia="黑体" w:cs="黑体"/>
                          <w:color w:val="000000"/>
                          <w:sz w:val="90"/>
                          <w:szCs w:val="90"/>
                          <w14:shadow w14:blurRad="38100" w14:dist="22860" w14:dir="5400000" w14:sx="100000" w14:sy="100000" w14:algn="tl">
                            <w14:srgbClr w14:val="000000">
                              <w14:alpha w14:val="70000"/>
                            </w14:srgbClr>
                          </w14:shadow>
                        </w:rPr>
                        <w:t>2020年度部门决算报表</w:t>
                      </w:r>
                    </w:p>
                    <w:p/>
                  </w:txbxContent>
                </v:textbox>
              </v:rect>
            </w:pict>
          </mc:Fallback>
        </mc:AlternateContent>
      </w:r>
    </w:p>
    <w:tbl>
      <w:tblPr>
        <w:tblStyle w:val="7"/>
        <w:tblpPr w:leftFromText="180" w:rightFromText="180" w:vertAnchor="text" w:horzAnchor="page" w:tblpXSpec="center" w:tblpY="31"/>
        <w:tblOverlap w:val="never"/>
        <w:tblW w:w="94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07"/>
        <w:gridCol w:w="724"/>
        <w:gridCol w:w="686"/>
        <w:gridCol w:w="3443"/>
        <w:gridCol w:w="536"/>
        <w:gridCol w:w="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9434"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eastAsia="黑体" w:cs="黑体"/>
                <w:color w:val="000000"/>
                <w:sz w:val="28"/>
                <w:szCs w:val="28"/>
              </w:rPr>
            </w:pPr>
            <w:r>
              <w:rPr>
                <w:rFonts w:hint="eastAsia" w:ascii="黑体" w:eastAsia="黑体" w:cs="黑体"/>
                <w:color w:val="000000"/>
                <w:kern w:val="0"/>
                <w:sz w:val="28"/>
                <w:szCs w:val="28"/>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trPr>
        <w:tc>
          <w:tcPr>
            <w:tcW w:w="320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724"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684"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816" w:type="dxa"/>
            <w:gridSpan w:val="3"/>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320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eastAsia="宋体" w:cs="宋体"/>
                <w:color w:val="000000"/>
                <w:sz w:val="18"/>
                <w:szCs w:val="18"/>
              </w:rPr>
            </w:pPr>
            <w:r>
              <w:rPr>
                <w:rFonts w:hint="eastAsia" w:ascii="宋体" w:eastAsia="宋体" w:cs="宋体"/>
                <w:color w:val="000000"/>
                <w:kern w:val="0"/>
                <w:sz w:val="18"/>
                <w:szCs w:val="18"/>
              </w:rPr>
              <w:t>部门：</w:t>
            </w:r>
          </w:p>
        </w:tc>
        <w:tc>
          <w:tcPr>
            <w:tcW w:w="724"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684"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816" w:type="dxa"/>
            <w:gridSpan w:val="3"/>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61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收入</w:t>
            </w:r>
          </w:p>
        </w:tc>
        <w:tc>
          <w:tcPr>
            <w:tcW w:w="4816"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项目</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行次</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金额</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项目</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行次</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栏次</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栏次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一、一般公共预算财政拨款收入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lang w:val="en-US" w:eastAsia="zh-CN"/>
              </w:rPr>
              <w:t>1441.97</w:t>
            </w: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一、一般公共服务支出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29</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lang w:val="en-US" w:eastAsia="zh-CN"/>
              </w:rPr>
              <w:t>1233.52</w:t>
            </w: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二、政府性基金预算财政拨款收入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二、外交支出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30</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三、上级补助收入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三、国防支出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31</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四、事业收入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四、公共安全支出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32</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五、经营收入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五、教育支出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33</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六、附属单位上缴收入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6</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六、科学技术支出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34</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七、其他收入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7</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七、文化旅游体育与传媒支出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35</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8</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八、社会保障和就业支出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36</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lang w:val="en-US" w:eastAsia="zh-CN"/>
              </w:rPr>
              <w:t>80.24</w:t>
            </w: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9</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九、卫生健康支出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37</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lang w:val="en-US" w:eastAsia="zh-CN"/>
              </w:rPr>
              <w:t>74</w:t>
            </w: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10</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十、节能环保支出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38</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11</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十一、城乡社区支出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39</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12</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十二、农林水支出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40</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13</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十三、交通运输支出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41</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14</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十四、资源勘探信息等支出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42</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15</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十五、商业服务业等支出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43</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16</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十六、金融支出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44</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17</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十七、援助其他地区支出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45</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18</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十八、自然资源海洋气象等支出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46</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19</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十九、住房保障支出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47</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lang w:val="en-US" w:eastAsia="zh-CN"/>
              </w:rPr>
              <w:t>60.23</w:t>
            </w: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20</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二十、粮油物资储备支出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48</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21</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二十一、灾害防治及应急管理支出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49</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22</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二十二、其他支出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50</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23</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二十四、债务付息支出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51</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本年收入合计</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24</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lang w:val="en-US" w:eastAsia="zh-CN"/>
              </w:rPr>
              <w:t>1441.97</w:t>
            </w: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本年支出合计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52</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lang w:val="en-US" w:eastAsia="zh-CN"/>
              </w:rPr>
              <w:t>1447.99</w:t>
            </w: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用事业基金弥补收支差额</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25</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结余分配</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53</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年初结转和结余</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26</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lang w:val="en-US" w:eastAsia="zh-CN"/>
              </w:rPr>
              <w:t>6.02</w:t>
            </w: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年末结转和结余</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54</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27</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55</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总计</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28</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lang w:val="en-US" w:eastAsia="zh-CN"/>
              </w:rPr>
              <w:t>1447.99</w:t>
            </w:r>
            <w:r>
              <w:rPr>
                <w:rFonts w:hint="eastAsia" w:asci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18"/>
                <w:szCs w:val="18"/>
              </w:rPr>
            </w:pPr>
            <w:r>
              <w:rPr>
                <w:rFonts w:hint="eastAsia" w:ascii="宋体" w:eastAsia="宋体" w:cs="宋体"/>
                <w:b/>
                <w:color w:val="000000"/>
                <w:kern w:val="0"/>
                <w:sz w:val="18"/>
                <w:szCs w:val="18"/>
              </w:rPr>
              <w:t>总计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56</w:t>
            </w:r>
          </w:p>
        </w:tc>
        <w:tc>
          <w:tcPr>
            <w:tcW w:w="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hint="eastAsia" w:ascii="宋体" w:eastAsia="宋体" w:cs="宋体"/>
                <w:color w:val="000000"/>
                <w:kern w:val="0"/>
                <w:sz w:val="18"/>
                <w:szCs w:val="18"/>
                <w:lang w:val="en-US" w:eastAsia="zh-CN"/>
              </w:rPr>
              <w:t>1447.99</w:t>
            </w:r>
            <w:r>
              <w:rPr>
                <w:rFonts w:hint="eastAsia" w:ascii="宋体" w:eastAsia="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9434"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kern w:val="0"/>
                <w:sz w:val="18"/>
                <w:szCs w:val="18"/>
              </w:rPr>
            </w:pPr>
            <w:r>
              <w:rPr>
                <w:rFonts w:hint="eastAsia" w:ascii="宋体" w:eastAsia="宋体" w:cs="宋体"/>
                <w:color w:val="000000"/>
                <w:kern w:val="0"/>
                <w:sz w:val="18"/>
                <w:szCs w:val="18"/>
              </w:rPr>
              <w:t>注：本表反映部门本年度的总收支和年末结转结余情况。</w:t>
            </w:r>
          </w:p>
          <w:p>
            <w:pPr>
              <w:widowControl/>
              <w:jc w:val="left"/>
              <w:textAlignment w:val="center"/>
              <w:rPr>
                <w:rFonts w:ascii="宋体" w:eastAsia="宋体" w:cs="宋体"/>
                <w:color w:val="000000"/>
                <w:kern w:val="0"/>
                <w:sz w:val="18"/>
                <w:szCs w:val="18"/>
              </w:rPr>
            </w:pPr>
          </w:p>
        </w:tc>
      </w:tr>
    </w:tbl>
    <w:tbl>
      <w:tblPr>
        <w:tblStyle w:val="7"/>
        <w:tblW w:w="9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25"/>
        <w:gridCol w:w="63"/>
        <w:gridCol w:w="63"/>
        <w:gridCol w:w="1130"/>
        <w:gridCol w:w="1009"/>
        <w:gridCol w:w="1009"/>
        <w:gridCol w:w="1009"/>
        <w:gridCol w:w="1009"/>
        <w:gridCol w:w="1009"/>
        <w:gridCol w:w="1009"/>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eastAsia="黑体" w:cs="黑体"/>
                <w:color w:val="000000"/>
                <w:sz w:val="28"/>
                <w:szCs w:val="28"/>
              </w:rPr>
            </w:pPr>
            <w:r>
              <w:rPr>
                <w:rFonts w:hint="eastAsia" w:ascii="黑体" w:eastAsia="黑体" w:cs="黑体"/>
                <w:color w:val="000000"/>
                <w:kern w:val="0"/>
                <w:sz w:val="28"/>
                <w:szCs w:val="28"/>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10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54"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1025"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263"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228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项目</w:t>
            </w:r>
          </w:p>
        </w:tc>
        <w:tc>
          <w:tcPr>
            <w:tcW w:w="1009"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本年收入合计</w:t>
            </w:r>
          </w:p>
        </w:tc>
        <w:tc>
          <w:tcPr>
            <w:tcW w:w="1009"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财政拨款收入</w:t>
            </w:r>
          </w:p>
        </w:tc>
        <w:tc>
          <w:tcPr>
            <w:tcW w:w="1009"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上级补助收入</w:t>
            </w:r>
          </w:p>
        </w:tc>
        <w:tc>
          <w:tcPr>
            <w:tcW w:w="1009"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事业收入</w:t>
            </w:r>
          </w:p>
        </w:tc>
        <w:tc>
          <w:tcPr>
            <w:tcW w:w="1009"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经营收入</w:t>
            </w:r>
          </w:p>
        </w:tc>
        <w:tc>
          <w:tcPr>
            <w:tcW w:w="1009"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附属单位上缴收入</w:t>
            </w:r>
          </w:p>
        </w:tc>
        <w:tc>
          <w:tcPr>
            <w:tcW w:w="1013"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1151" w:type="dxa"/>
            <w:gridSpan w:val="3"/>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功能分类科目编码</w:t>
            </w:r>
          </w:p>
        </w:tc>
        <w:tc>
          <w:tcPr>
            <w:tcW w:w="113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科目名称</w:t>
            </w: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13"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3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13"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3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0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13"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2281"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2281"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lang w:val="en-US" w:eastAsia="zh-CN"/>
              </w:rPr>
            </w:pPr>
            <w:r>
              <w:rPr>
                <w:rFonts w:hint="eastAsia" w:ascii="宋体" w:eastAsia="宋体" w:cs="宋体"/>
                <w:b/>
                <w:color w:val="000000"/>
                <w:sz w:val="22"/>
                <w:lang w:val="en-US" w:eastAsia="zh-CN"/>
              </w:rPr>
              <w:t>1441.97</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lang w:val="en-US" w:eastAsia="zh-CN"/>
              </w:rPr>
            </w:pPr>
            <w:r>
              <w:rPr>
                <w:rFonts w:hint="eastAsia" w:ascii="宋体" w:eastAsia="宋体" w:cs="宋体"/>
                <w:b/>
                <w:color w:val="000000"/>
                <w:sz w:val="22"/>
                <w:lang w:val="en-US" w:eastAsia="zh-CN"/>
              </w:rPr>
              <w:t>1441.97</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lang w:val="en-US" w:eastAsia="zh-CN"/>
              </w:rPr>
            </w:pPr>
            <w:r>
              <w:rPr>
                <w:rFonts w:hint="eastAsia" w:ascii="宋体" w:eastAsia="宋体" w:cs="宋体"/>
                <w:color w:val="000000"/>
                <w:sz w:val="22"/>
                <w:lang w:val="en-US" w:eastAsia="zh-CN"/>
              </w:rPr>
              <w:t>201</w:t>
            </w:r>
          </w:p>
        </w:tc>
        <w:tc>
          <w:tcPr>
            <w:tcW w:w="1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22"/>
                <w:lang w:eastAsia="zh-CN"/>
              </w:rPr>
            </w:pPr>
            <w:r>
              <w:rPr>
                <w:rFonts w:hint="eastAsia" w:ascii="宋体" w:eastAsia="宋体" w:cs="宋体"/>
                <w:color w:val="000000"/>
                <w:sz w:val="22"/>
                <w:lang w:eastAsia="zh-CN"/>
              </w:rPr>
              <w:t>一般公共服务支出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1227.50</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1227.50</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lang w:val="en-US" w:eastAsia="zh-CN"/>
              </w:rPr>
            </w:pPr>
            <w:r>
              <w:rPr>
                <w:rFonts w:hint="eastAsia" w:ascii="宋体" w:eastAsia="宋体" w:cs="宋体"/>
                <w:color w:val="000000"/>
                <w:sz w:val="22"/>
                <w:lang w:val="en-US" w:eastAsia="zh-CN"/>
              </w:rPr>
              <w:t>20111</w:t>
            </w:r>
          </w:p>
        </w:tc>
        <w:tc>
          <w:tcPr>
            <w:tcW w:w="1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22"/>
                <w:lang w:eastAsia="zh-CN"/>
              </w:rPr>
            </w:pPr>
            <w:r>
              <w:rPr>
                <w:rFonts w:hint="eastAsia" w:ascii="宋体" w:eastAsia="宋体" w:cs="宋体"/>
                <w:color w:val="000000"/>
                <w:sz w:val="22"/>
                <w:lang w:eastAsia="zh-CN"/>
              </w:rPr>
              <w:t>纪检监察事务</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1227.50</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1227.50</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lang w:val="en-US" w:eastAsia="zh-CN"/>
              </w:rPr>
            </w:pPr>
            <w:r>
              <w:rPr>
                <w:rFonts w:hint="eastAsia" w:ascii="宋体" w:eastAsia="宋体" w:cs="宋体"/>
                <w:color w:val="000000"/>
                <w:sz w:val="22"/>
                <w:lang w:val="en-US" w:eastAsia="zh-CN"/>
              </w:rPr>
              <w:t>2011101</w:t>
            </w:r>
          </w:p>
        </w:tc>
        <w:tc>
          <w:tcPr>
            <w:tcW w:w="1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22"/>
                <w:lang w:eastAsia="zh-CN"/>
              </w:rPr>
            </w:pPr>
            <w:r>
              <w:rPr>
                <w:rFonts w:hint="eastAsia" w:ascii="宋体" w:eastAsia="宋体" w:cs="宋体"/>
                <w:color w:val="000000"/>
                <w:sz w:val="22"/>
                <w:lang w:eastAsia="zh-CN"/>
              </w:rPr>
              <w:t>行政运行</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938.38</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938.38</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lang w:val="en-US" w:eastAsia="zh-CN"/>
              </w:rPr>
            </w:pPr>
            <w:r>
              <w:rPr>
                <w:rFonts w:hint="eastAsia" w:ascii="宋体" w:eastAsia="宋体" w:cs="宋体"/>
                <w:color w:val="000000"/>
                <w:sz w:val="22"/>
                <w:lang w:val="en-US" w:eastAsia="zh-CN"/>
              </w:rPr>
              <w:t>2011102</w:t>
            </w:r>
          </w:p>
        </w:tc>
        <w:tc>
          <w:tcPr>
            <w:tcW w:w="1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22"/>
                <w:lang w:eastAsia="zh-CN"/>
              </w:rPr>
            </w:pPr>
            <w:r>
              <w:rPr>
                <w:rFonts w:hint="eastAsia" w:ascii="宋体" w:eastAsia="宋体" w:cs="宋体"/>
                <w:color w:val="000000"/>
                <w:sz w:val="22"/>
                <w:lang w:eastAsia="zh-CN"/>
              </w:rPr>
              <w:t>一般行政管理事务</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289.12</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289.12</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lang w:val="en-US" w:eastAsia="zh-CN"/>
              </w:rPr>
            </w:pPr>
            <w:r>
              <w:rPr>
                <w:rFonts w:hint="eastAsia" w:ascii="宋体" w:eastAsia="宋体" w:cs="宋体"/>
                <w:color w:val="000000"/>
                <w:sz w:val="22"/>
                <w:lang w:val="en-US" w:eastAsia="zh-CN"/>
              </w:rPr>
              <w:t>208</w:t>
            </w:r>
          </w:p>
        </w:tc>
        <w:tc>
          <w:tcPr>
            <w:tcW w:w="1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22"/>
                <w:lang w:eastAsia="zh-CN"/>
              </w:rPr>
            </w:pPr>
            <w:r>
              <w:rPr>
                <w:rFonts w:hint="eastAsia" w:ascii="宋体" w:eastAsia="宋体" w:cs="宋体"/>
                <w:color w:val="000000"/>
                <w:sz w:val="22"/>
                <w:lang w:eastAsia="zh-CN"/>
              </w:rPr>
              <w:t>社会保障和就业支出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80.24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80.24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lang w:val="en-US" w:eastAsia="zh-CN"/>
              </w:rPr>
            </w:pPr>
            <w:r>
              <w:rPr>
                <w:rFonts w:hint="eastAsia" w:ascii="宋体" w:eastAsia="宋体" w:cs="宋体"/>
                <w:color w:val="000000"/>
                <w:sz w:val="22"/>
                <w:lang w:val="en-US" w:eastAsia="zh-CN"/>
              </w:rPr>
              <w:t>20805</w:t>
            </w:r>
          </w:p>
        </w:tc>
        <w:tc>
          <w:tcPr>
            <w:tcW w:w="1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22"/>
                <w:lang w:eastAsia="zh-CN"/>
              </w:rPr>
            </w:pPr>
            <w:r>
              <w:rPr>
                <w:rFonts w:hint="eastAsia" w:ascii="宋体" w:eastAsia="宋体" w:cs="宋体"/>
                <w:color w:val="000000"/>
                <w:sz w:val="22"/>
                <w:lang w:eastAsia="zh-CN"/>
              </w:rPr>
              <w:t>行政事业单位养老支出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80.24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80.24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lang w:val="en-US" w:eastAsia="zh-CN"/>
              </w:rPr>
            </w:pPr>
            <w:r>
              <w:rPr>
                <w:rFonts w:hint="eastAsia" w:ascii="宋体" w:eastAsia="宋体" w:cs="宋体"/>
                <w:color w:val="000000"/>
                <w:sz w:val="22"/>
                <w:lang w:val="en-US" w:eastAsia="zh-CN"/>
              </w:rPr>
              <w:t>2080505</w:t>
            </w:r>
          </w:p>
        </w:tc>
        <w:tc>
          <w:tcPr>
            <w:tcW w:w="1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22"/>
                <w:lang w:eastAsia="zh-CN"/>
              </w:rPr>
            </w:pPr>
            <w:r>
              <w:rPr>
                <w:rFonts w:hint="eastAsia" w:ascii="宋体" w:eastAsia="宋体" w:cs="宋体"/>
                <w:color w:val="000000"/>
                <w:sz w:val="22"/>
                <w:lang w:eastAsia="zh-CN"/>
              </w:rPr>
              <w:t>机关事业单位基本养老保险缴费支出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80.24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80.24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lang w:val="en-US" w:eastAsia="zh-CN"/>
              </w:rPr>
            </w:pPr>
            <w:r>
              <w:rPr>
                <w:rFonts w:hint="eastAsia" w:ascii="宋体" w:eastAsia="宋体" w:cs="宋体"/>
                <w:color w:val="000000"/>
                <w:sz w:val="22"/>
                <w:lang w:val="en-US" w:eastAsia="zh-CN"/>
              </w:rPr>
              <w:t>210</w:t>
            </w:r>
          </w:p>
        </w:tc>
        <w:tc>
          <w:tcPr>
            <w:tcW w:w="1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22"/>
                <w:lang w:eastAsia="zh-CN"/>
              </w:rPr>
            </w:pPr>
            <w:r>
              <w:rPr>
                <w:rFonts w:hint="eastAsia" w:ascii="宋体" w:eastAsia="宋体" w:cs="宋体"/>
                <w:color w:val="000000"/>
                <w:sz w:val="22"/>
                <w:lang w:eastAsia="zh-CN"/>
              </w:rPr>
              <w:t>卫生健康支出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74.00</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74.00</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lang w:val="en-US" w:eastAsia="zh-CN"/>
              </w:rPr>
            </w:pPr>
            <w:r>
              <w:rPr>
                <w:rFonts w:hint="eastAsia" w:ascii="宋体" w:eastAsia="宋体" w:cs="宋体"/>
                <w:color w:val="000000"/>
                <w:sz w:val="22"/>
                <w:lang w:val="en-US" w:eastAsia="zh-CN"/>
              </w:rPr>
              <w:t>21011</w:t>
            </w:r>
          </w:p>
        </w:tc>
        <w:tc>
          <w:tcPr>
            <w:tcW w:w="1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22"/>
                <w:lang w:eastAsia="zh-CN"/>
              </w:rPr>
            </w:pPr>
            <w:r>
              <w:rPr>
                <w:rFonts w:hint="eastAsia" w:ascii="宋体" w:eastAsia="宋体" w:cs="宋体"/>
                <w:color w:val="000000"/>
                <w:sz w:val="22"/>
                <w:lang w:eastAsia="zh-CN"/>
              </w:rPr>
              <w:t>行政事业单位医疗</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74.00</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74.00</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lang w:val="en-US" w:eastAsia="zh-CN"/>
              </w:rPr>
            </w:pPr>
            <w:r>
              <w:rPr>
                <w:rFonts w:hint="eastAsia" w:ascii="宋体" w:eastAsia="宋体" w:cs="宋体"/>
                <w:color w:val="000000"/>
                <w:sz w:val="22"/>
                <w:lang w:val="en-US" w:eastAsia="zh-CN"/>
              </w:rPr>
              <w:t>2101101</w:t>
            </w:r>
          </w:p>
        </w:tc>
        <w:tc>
          <w:tcPr>
            <w:tcW w:w="1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22"/>
                <w:lang w:eastAsia="zh-CN"/>
              </w:rPr>
            </w:pPr>
            <w:r>
              <w:rPr>
                <w:rFonts w:hint="eastAsia" w:ascii="宋体" w:eastAsia="宋体" w:cs="宋体"/>
                <w:color w:val="000000"/>
                <w:sz w:val="22"/>
                <w:lang w:eastAsia="zh-CN"/>
              </w:rPr>
              <w:t>行政单位医疗</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65.25</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65.25</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lang w:val="en-US" w:eastAsia="zh-CN"/>
              </w:rPr>
            </w:pPr>
            <w:r>
              <w:rPr>
                <w:rFonts w:hint="eastAsia" w:ascii="宋体" w:eastAsia="宋体" w:cs="宋体"/>
                <w:color w:val="000000"/>
                <w:sz w:val="22"/>
                <w:lang w:val="en-US" w:eastAsia="zh-CN"/>
              </w:rPr>
              <w:t>2011102</w:t>
            </w:r>
          </w:p>
        </w:tc>
        <w:tc>
          <w:tcPr>
            <w:tcW w:w="1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22"/>
                <w:lang w:eastAsia="zh-CN"/>
              </w:rPr>
            </w:pPr>
            <w:r>
              <w:rPr>
                <w:rFonts w:hint="eastAsia" w:ascii="宋体" w:eastAsia="宋体" w:cs="宋体"/>
                <w:color w:val="000000"/>
                <w:sz w:val="22"/>
                <w:lang w:eastAsia="zh-CN"/>
              </w:rPr>
              <w:t>事业单位医疗</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8.75</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8.75</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lang w:val="en-US" w:eastAsia="zh-CN"/>
              </w:rPr>
            </w:pPr>
            <w:r>
              <w:rPr>
                <w:rFonts w:hint="eastAsia" w:ascii="宋体" w:eastAsia="宋体" w:cs="宋体"/>
                <w:color w:val="000000"/>
                <w:sz w:val="22"/>
                <w:lang w:val="en-US" w:eastAsia="zh-CN"/>
              </w:rPr>
              <w:t>221</w:t>
            </w:r>
          </w:p>
        </w:tc>
        <w:tc>
          <w:tcPr>
            <w:tcW w:w="1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22"/>
                <w:lang w:eastAsia="zh-CN"/>
              </w:rPr>
            </w:pPr>
            <w:r>
              <w:rPr>
                <w:rFonts w:hint="eastAsia" w:ascii="宋体" w:eastAsia="宋体" w:cs="宋体"/>
                <w:color w:val="000000"/>
                <w:sz w:val="22"/>
                <w:lang w:eastAsia="zh-CN"/>
              </w:rPr>
              <w:t>住房保障支出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60.23</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60.23</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lang w:val="en-US" w:eastAsia="zh-CN"/>
              </w:rPr>
            </w:pPr>
            <w:r>
              <w:rPr>
                <w:rFonts w:hint="eastAsia" w:ascii="宋体" w:eastAsia="宋体" w:cs="宋体"/>
                <w:color w:val="000000"/>
                <w:sz w:val="22"/>
                <w:lang w:val="en-US" w:eastAsia="zh-CN"/>
              </w:rPr>
              <w:t>22102</w:t>
            </w:r>
          </w:p>
        </w:tc>
        <w:tc>
          <w:tcPr>
            <w:tcW w:w="1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22"/>
                <w:lang w:eastAsia="zh-CN"/>
              </w:rPr>
            </w:pPr>
            <w:r>
              <w:rPr>
                <w:rFonts w:hint="eastAsia" w:ascii="宋体" w:eastAsia="宋体" w:cs="宋体"/>
                <w:color w:val="000000"/>
                <w:sz w:val="22"/>
                <w:lang w:eastAsia="zh-CN"/>
              </w:rPr>
              <w:t>住房改革支出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60.23</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60.23</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lang w:val="en-US" w:eastAsia="zh-CN"/>
              </w:rPr>
            </w:pPr>
            <w:r>
              <w:rPr>
                <w:rFonts w:hint="eastAsia" w:ascii="宋体" w:eastAsia="宋体" w:cs="宋体"/>
                <w:color w:val="000000"/>
                <w:sz w:val="22"/>
                <w:lang w:val="en-US" w:eastAsia="zh-CN"/>
              </w:rPr>
              <w:t>2210201</w:t>
            </w:r>
          </w:p>
        </w:tc>
        <w:tc>
          <w:tcPr>
            <w:tcW w:w="1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22"/>
                <w:lang w:eastAsia="zh-CN"/>
              </w:rPr>
            </w:pPr>
            <w:r>
              <w:rPr>
                <w:rFonts w:hint="eastAsia" w:ascii="宋体" w:eastAsia="宋体" w:cs="宋体"/>
                <w:color w:val="000000"/>
                <w:sz w:val="22"/>
                <w:lang w:eastAsia="zh-CN"/>
              </w:rPr>
              <w:t>住房公积金</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60.23</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lang w:val="en-US" w:eastAsia="zh-CN"/>
              </w:rPr>
            </w:pPr>
            <w:r>
              <w:rPr>
                <w:rFonts w:hint="eastAsia" w:ascii="宋体" w:eastAsia="宋体" w:cs="宋体"/>
                <w:color w:val="000000"/>
                <w:sz w:val="22"/>
                <w:lang w:val="en-US" w:eastAsia="zh-CN"/>
              </w:rPr>
              <w:t>60.23</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eastAsia" w:ascii="宋体" w:eastAsia="宋体" w:cs="宋体"/>
                <w:color w:val="000000"/>
                <w:kern w:val="0"/>
                <w:sz w:val="22"/>
              </w:rPr>
            </w:pPr>
          </w:p>
        </w:tc>
      </w:tr>
    </w:tbl>
    <w:p>
      <w:pPr>
        <w:jc w:val="left"/>
      </w:pPr>
    </w:p>
    <w:p>
      <w:r>
        <w:br w:type="page"/>
      </w:r>
    </w:p>
    <w:tbl>
      <w:tblPr>
        <w:tblStyle w:val="7"/>
        <w:tblW w:w="9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1"/>
        <w:gridCol w:w="53"/>
        <w:gridCol w:w="111"/>
        <w:gridCol w:w="1655"/>
        <w:gridCol w:w="1233"/>
        <w:gridCol w:w="1367"/>
        <w:gridCol w:w="1167"/>
        <w:gridCol w:w="1083"/>
        <w:gridCol w:w="1100"/>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0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97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18"/>
                <w:szCs w:val="18"/>
              </w:rPr>
            </w:pPr>
            <w:r>
              <w:rPr>
                <w:rFonts w:hint="eastAsia" w:ascii="宋体" w:eastAsia="宋体" w:cs="宋体"/>
                <w:color w:val="000000"/>
                <w:kern w:val="0"/>
                <w:sz w:val="18"/>
                <w:szCs w:val="18"/>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0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07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27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项目</w:t>
            </w:r>
          </w:p>
        </w:tc>
        <w:tc>
          <w:tcPr>
            <w:tcW w:w="1233"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本年支出合计</w:t>
            </w:r>
          </w:p>
        </w:tc>
        <w:tc>
          <w:tcPr>
            <w:tcW w:w="1367"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基本支出</w:t>
            </w:r>
          </w:p>
        </w:tc>
        <w:tc>
          <w:tcPr>
            <w:tcW w:w="1167"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项目支出</w:t>
            </w:r>
          </w:p>
        </w:tc>
        <w:tc>
          <w:tcPr>
            <w:tcW w:w="1083"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上缴上级支出</w:t>
            </w:r>
          </w:p>
        </w:tc>
        <w:tc>
          <w:tcPr>
            <w:tcW w:w="110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经营支出</w:t>
            </w:r>
          </w:p>
        </w:tc>
        <w:tc>
          <w:tcPr>
            <w:tcW w:w="97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功能分类科目编码</w:t>
            </w:r>
          </w:p>
        </w:tc>
        <w:tc>
          <w:tcPr>
            <w:tcW w:w="165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科目名称</w:t>
            </w:r>
          </w:p>
        </w:tc>
        <w:tc>
          <w:tcPr>
            <w:tcW w:w="1233"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36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6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83"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0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9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6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233"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36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6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83"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0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9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6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233"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36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6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83"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0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9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27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栏次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w:t>
            </w: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4</w:t>
            </w: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5</w:t>
            </w: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27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18"/>
                <w:szCs w:val="18"/>
                <w:lang w:val="en-US" w:eastAsia="zh-CN"/>
              </w:rPr>
            </w:pPr>
            <w:r>
              <w:rPr>
                <w:rFonts w:hint="eastAsia" w:ascii="宋体" w:eastAsia="宋体" w:cs="宋体"/>
                <w:b/>
                <w:color w:val="000000"/>
                <w:sz w:val="18"/>
                <w:szCs w:val="18"/>
                <w:lang w:val="en-US" w:eastAsia="zh-CN"/>
              </w:rPr>
              <w:t>1447.99</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18"/>
                <w:szCs w:val="18"/>
                <w:lang w:val="en-US" w:eastAsia="zh-CN"/>
              </w:rPr>
            </w:pPr>
            <w:r>
              <w:rPr>
                <w:rFonts w:hint="eastAsia" w:ascii="宋体" w:eastAsia="宋体" w:cs="宋体"/>
                <w:b/>
                <w:color w:val="000000"/>
                <w:sz w:val="18"/>
                <w:szCs w:val="18"/>
                <w:lang w:val="en-US" w:eastAsia="zh-CN"/>
              </w:rPr>
              <w:t>1152.85</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18"/>
                <w:szCs w:val="18"/>
                <w:lang w:val="en-US" w:eastAsia="zh-CN"/>
              </w:rPr>
            </w:pPr>
            <w:r>
              <w:rPr>
                <w:rFonts w:hint="eastAsia" w:ascii="宋体" w:eastAsia="宋体" w:cs="宋体"/>
                <w:b/>
                <w:color w:val="000000"/>
                <w:sz w:val="18"/>
                <w:szCs w:val="18"/>
                <w:lang w:val="en-US" w:eastAsia="zh-CN"/>
              </w:rPr>
              <w:t>295.14</w:t>
            </w: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18"/>
                <w:szCs w:val="18"/>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18"/>
                <w:szCs w:val="18"/>
              </w:rPr>
            </w:pP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201</w:t>
            </w:r>
          </w:p>
        </w:tc>
        <w:tc>
          <w:tcPr>
            <w:tcW w:w="1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18"/>
                <w:szCs w:val="18"/>
                <w:lang w:eastAsia="zh-CN"/>
              </w:rPr>
            </w:pPr>
            <w:r>
              <w:rPr>
                <w:rFonts w:hint="eastAsia" w:ascii="宋体" w:eastAsia="宋体" w:cs="宋体"/>
                <w:color w:val="000000"/>
                <w:sz w:val="18"/>
                <w:szCs w:val="18"/>
                <w:lang w:eastAsia="zh-CN"/>
              </w:rPr>
              <w:t>一般公共服务支出</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1233.52</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938.38</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295.14</w:t>
            </w: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20111</w:t>
            </w:r>
          </w:p>
        </w:tc>
        <w:tc>
          <w:tcPr>
            <w:tcW w:w="1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18"/>
                <w:szCs w:val="18"/>
                <w:lang w:eastAsia="zh-CN"/>
              </w:rPr>
            </w:pPr>
            <w:r>
              <w:rPr>
                <w:rFonts w:hint="eastAsia" w:ascii="宋体" w:eastAsia="宋体" w:cs="宋体"/>
                <w:color w:val="000000"/>
                <w:sz w:val="18"/>
                <w:szCs w:val="18"/>
                <w:lang w:eastAsia="zh-CN"/>
              </w:rPr>
              <w:t>纪检监察事务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1233.52</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938.38</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295.14</w:t>
            </w: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2011101</w:t>
            </w:r>
          </w:p>
        </w:tc>
        <w:tc>
          <w:tcPr>
            <w:tcW w:w="1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18"/>
                <w:szCs w:val="18"/>
                <w:lang w:eastAsia="zh-CN"/>
              </w:rPr>
            </w:pPr>
            <w:r>
              <w:rPr>
                <w:rFonts w:hint="eastAsia" w:ascii="宋体" w:eastAsia="宋体" w:cs="宋体"/>
                <w:color w:val="000000"/>
                <w:sz w:val="18"/>
                <w:szCs w:val="18"/>
                <w:lang w:eastAsia="zh-CN"/>
              </w:rPr>
              <w:t>行政运行</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938.38</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938.38</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2011102</w:t>
            </w:r>
          </w:p>
        </w:tc>
        <w:tc>
          <w:tcPr>
            <w:tcW w:w="1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18"/>
                <w:szCs w:val="18"/>
                <w:lang w:eastAsia="zh-CN"/>
              </w:rPr>
            </w:pPr>
            <w:r>
              <w:rPr>
                <w:rFonts w:hint="eastAsia" w:ascii="宋体" w:eastAsia="宋体" w:cs="宋体"/>
                <w:color w:val="000000"/>
                <w:sz w:val="18"/>
                <w:szCs w:val="18"/>
                <w:lang w:eastAsia="zh-CN"/>
              </w:rPr>
              <w:t>一般行政管理事务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295.14</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295.14</w:t>
            </w: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208</w:t>
            </w:r>
          </w:p>
        </w:tc>
        <w:tc>
          <w:tcPr>
            <w:tcW w:w="1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18"/>
                <w:szCs w:val="18"/>
                <w:lang w:eastAsia="zh-CN"/>
              </w:rPr>
            </w:pPr>
            <w:r>
              <w:rPr>
                <w:rFonts w:hint="eastAsia" w:ascii="宋体" w:eastAsia="宋体" w:cs="宋体"/>
                <w:color w:val="000000"/>
                <w:sz w:val="18"/>
                <w:szCs w:val="18"/>
                <w:lang w:eastAsia="zh-CN"/>
              </w:rPr>
              <w:t>社会保障和就业支出</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80.24</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80.24</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20805</w:t>
            </w:r>
          </w:p>
        </w:tc>
        <w:tc>
          <w:tcPr>
            <w:tcW w:w="1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1"/>
                <w:szCs w:val="11"/>
              </w:rPr>
            </w:pPr>
            <w:r>
              <w:rPr>
                <w:rFonts w:hint="eastAsia" w:ascii="宋体" w:eastAsia="宋体" w:cs="宋体"/>
                <w:color w:val="000000"/>
                <w:sz w:val="16"/>
                <w:szCs w:val="18"/>
                <w:lang w:eastAsia="zh-CN"/>
              </w:rPr>
              <w:t>行政事业单位养老支出</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80.24</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80.24</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2080505</w:t>
            </w:r>
          </w:p>
        </w:tc>
        <w:tc>
          <w:tcPr>
            <w:tcW w:w="1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1"/>
                <w:szCs w:val="11"/>
              </w:rPr>
            </w:pPr>
            <w:r>
              <w:rPr>
                <w:rFonts w:hint="eastAsia" w:ascii="宋体" w:eastAsia="宋体" w:cs="宋体"/>
                <w:color w:val="000000"/>
                <w:sz w:val="16"/>
                <w:szCs w:val="18"/>
                <w:lang w:eastAsia="zh-CN"/>
              </w:rPr>
              <w:t>机关事业单位基本养老保险缴费支出</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80.24</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80.24</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210</w:t>
            </w:r>
          </w:p>
        </w:tc>
        <w:tc>
          <w:tcPr>
            <w:tcW w:w="1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18"/>
                <w:szCs w:val="18"/>
                <w:lang w:eastAsia="zh-CN"/>
              </w:rPr>
            </w:pPr>
            <w:r>
              <w:rPr>
                <w:rFonts w:hint="eastAsia" w:ascii="宋体" w:eastAsia="宋体" w:cs="宋体"/>
                <w:color w:val="000000"/>
                <w:sz w:val="18"/>
                <w:szCs w:val="18"/>
                <w:lang w:eastAsia="zh-CN"/>
              </w:rPr>
              <w:t>卫生健康支出</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74.00</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74.00</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21011</w:t>
            </w:r>
          </w:p>
        </w:tc>
        <w:tc>
          <w:tcPr>
            <w:tcW w:w="1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18"/>
                <w:szCs w:val="18"/>
                <w:lang w:eastAsia="zh-CN"/>
              </w:rPr>
            </w:pPr>
            <w:r>
              <w:rPr>
                <w:rFonts w:hint="eastAsia" w:ascii="宋体" w:eastAsia="宋体" w:cs="宋体"/>
                <w:color w:val="000000"/>
                <w:sz w:val="18"/>
                <w:szCs w:val="18"/>
                <w:lang w:eastAsia="zh-CN"/>
              </w:rPr>
              <w:t>行政事业单位医疗</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74.00</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74.00</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2101101</w:t>
            </w:r>
          </w:p>
        </w:tc>
        <w:tc>
          <w:tcPr>
            <w:tcW w:w="1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18"/>
                <w:szCs w:val="18"/>
                <w:lang w:eastAsia="zh-CN"/>
              </w:rPr>
            </w:pPr>
            <w:r>
              <w:rPr>
                <w:rFonts w:hint="eastAsia" w:ascii="宋体" w:eastAsia="宋体" w:cs="宋体"/>
                <w:color w:val="000000"/>
                <w:sz w:val="18"/>
                <w:szCs w:val="18"/>
                <w:lang w:eastAsia="zh-CN"/>
              </w:rPr>
              <w:t>行政单位医疗</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65.25</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65.25</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2101102</w:t>
            </w:r>
          </w:p>
        </w:tc>
        <w:tc>
          <w:tcPr>
            <w:tcW w:w="1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18"/>
                <w:szCs w:val="18"/>
                <w:lang w:eastAsia="zh-CN"/>
              </w:rPr>
            </w:pPr>
            <w:r>
              <w:rPr>
                <w:rFonts w:hint="eastAsia" w:ascii="宋体" w:eastAsia="宋体" w:cs="宋体"/>
                <w:color w:val="000000"/>
                <w:sz w:val="18"/>
                <w:szCs w:val="18"/>
                <w:lang w:eastAsia="zh-CN"/>
              </w:rPr>
              <w:t>事业单位医疗</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8.75</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8.75</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221</w:t>
            </w:r>
          </w:p>
        </w:tc>
        <w:tc>
          <w:tcPr>
            <w:tcW w:w="1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18"/>
                <w:szCs w:val="18"/>
                <w:lang w:eastAsia="zh-CN"/>
              </w:rPr>
            </w:pPr>
            <w:r>
              <w:rPr>
                <w:rFonts w:hint="eastAsia" w:ascii="宋体" w:eastAsia="宋体" w:cs="宋体"/>
                <w:color w:val="000000"/>
                <w:sz w:val="18"/>
                <w:szCs w:val="18"/>
                <w:lang w:eastAsia="zh-CN"/>
              </w:rPr>
              <w:t>住房保障支出</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60.23</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60.23</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22102</w:t>
            </w:r>
          </w:p>
        </w:tc>
        <w:tc>
          <w:tcPr>
            <w:tcW w:w="1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18"/>
                <w:szCs w:val="18"/>
                <w:lang w:eastAsia="zh-CN"/>
              </w:rPr>
            </w:pPr>
            <w:r>
              <w:rPr>
                <w:rFonts w:hint="eastAsia" w:ascii="宋体" w:eastAsia="宋体" w:cs="宋体"/>
                <w:color w:val="000000"/>
                <w:sz w:val="18"/>
                <w:szCs w:val="18"/>
                <w:lang w:eastAsia="zh-CN"/>
              </w:rPr>
              <w:t>住房改革支出</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60.23</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60.23</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2210201</w:t>
            </w:r>
          </w:p>
        </w:tc>
        <w:tc>
          <w:tcPr>
            <w:tcW w:w="1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sz w:val="18"/>
                <w:szCs w:val="18"/>
                <w:lang w:eastAsia="zh-CN"/>
              </w:rPr>
            </w:pPr>
            <w:r>
              <w:rPr>
                <w:rFonts w:hint="eastAsia" w:ascii="宋体" w:eastAsia="宋体" w:cs="宋体"/>
                <w:color w:val="000000"/>
                <w:sz w:val="18"/>
                <w:szCs w:val="18"/>
                <w:lang w:eastAsia="zh-CN"/>
              </w:rPr>
              <w:t>住房公积金</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60.23</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60.23</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0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1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hint="eastAsia" w:ascii="宋体" w:eastAsia="宋体" w:cs="宋体"/>
                <w:color w:val="000000"/>
                <w:kern w:val="0"/>
                <w:sz w:val="18"/>
                <w:szCs w:val="18"/>
              </w:rPr>
              <w:t>注：本表反映部门本年度各项支出情况。</w:t>
            </w:r>
          </w:p>
        </w:tc>
      </w:tr>
    </w:tbl>
    <w:p>
      <w:r>
        <w:br w:type="page"/>
      </w:r>
    </w:p>
    <w:tbl>
      <w:tblPr>
        <w:tblStyle w:val="7"/>
        <w:tblW w:w="9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74"/>
        <w:gridCol w:w="67"/>
        <w:gridCol w:w="67"/>
        <w:gridCol w:w="1695"/>
        <w:gridCol w:w="2329"/>
        <w:gridCol w:w="2329"/>
        <w:gridCol w:w="1859"/>
        <w:gridCol w:w="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70" w:type="dxa"/>
          <w:trHeight w:val="406" w:hRule="atLeast"/>
          <w:jc w:val="center"/>
        </w:trPr>
        <w:tc>
          <w:tcPr>
            <w:tcW w:w="952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eastAsia="黑体" w:cs="黑体"/>
                <w:color w:val="000000"/>
                <w:sz w:val="32"/>
                <w:szCs w:val="32"/>
              </w:rPr>
            </w:pPr>
            <w:r>
              <w:rPr>
                <w:rFonts w:hint="eastAsia" w:ascii="黑体" w:eastAsia="黑体" w:cs="黑体"/>
                <w:color w:val="000000"/>
                <w:kern w:val="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9990" w:type="dxa"/>
            <w:gridSpan w:val="8"/>
            <w:tcBorders>
              <w:top w:val="nil"/>
              <w:left w:val="nil"/>
              <w:bottom w:val="nil"/>
              <w:right w:val="nil"/>
            </w:tcBorders>
            <w:shd w:val="clear" w:color="auto" w:fill="auto"/>
            <w:noWrap/>
            <w:tcMar>
              <w:top w:w="15" w:type="dxa"/>
              <w:left w:w="15" w:type="dxa"/>
              <w:right w:w="15" w:type="dxa"/>
            </w:tcMar>
            <w:vAlign w:val="center"/>
          </w:tcPr>
          <w:tbl>
            <w:tblPr>
              <w:tblStyle w:val="7"/>
              <w:tblW w:w="9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7"/>
              <w:gridCol w:w="465"/>
              <w:gridCol w:w="748"/>
              <w:gridCol w:w="2456"/>
              <w:gridCol w:w="446"/>
              <w:gridCol w:w="762"/>
              <w:gridCol w:w="834"/>
              <w:gridCol w:w="700"/>
              <w:gridCol w:w="756"/>
              <w:gridCol w:w="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2" w:type="dxa"/>
                <w:trHeight w:val="90" w:hRule="atLeast"/>
              </w:trPr>
              <w:tc>
                <w:tcPr>
                  <w:tcW w:w="2317" w:type="dxa"/>
                  <w:tcBorders>
                    <w:top w:val="nil"/>
                    <w:left w:val="nil"/>
                    <w:bottom w:val="nil"/>
                    <w:right w:val="nil"/>
                  </w:tcBorders>
                  <w:shd w:val="clear" w:color="auto" w:fill="auto"/>
                  <w:noWrap/>
                  <w:vAlign w:val="bottom"/>
                </w:tcPr>
                <w:p>
                  <w:pPr>
                    <w:widowControl/>
                    <w:spacing w:line="240" w:lineRule="exact"/>
                    <w:jc w:val="left"/>
                    <w:rPr>
                      <w:rFonts w:ascii="宋体" w:eastAsia="宋体" w:cs="宋体"/>
                      <w:kern w:val="0"/>
                      <w:sz w:val="15"/>
                      <w:szCs w:val="15"/>
                    </w:rPr>
                  </w:pPr>
                </w:p>
              </w:tc>
              <w:tc>
                <w:tcPr>
                  <w:tcW w:w="465" w:type="dxa"/>
                  <w:tcBorders>
                    <w:top w:val="nil"/>
                    <w:left w:val="nil"/>
                    <w:bottom w:val="nil"/>
                    <w:right w:val="nil"/>
                  </w:tcBorders>
                  <w:shd w:val="clear" w:color="auto" w:fill="auto"/>
                  <w:noWrap/>
                  <w:vAlign w:val="bottom"/>
                </w:tcPr>
                <w:p>
                  <w:pPr>
                    <w:widowControl/>
                    <w:spacing w:line="240" w:lineRule="exact"/>
                    <w:jc w:val="left"/>
                    <w:rPr>
                      <w:rFonts w:ascii="Times New Roman" w:hAnsi="Times New Roman" w:eastAsia="Times New Roman" w:cs="Times New Roman"/>
                      <w:kern w:val="0"/>
                      <w:sz w:val="15"/>
                      <w:szCs w:val="15"/>
                    </w:rPr>
                  </w:pPr>
                </w:p>
              </w:tc>
              <w:tc>
                <w:tcPr>
                  <w:tcW w:w="748" w:type="dxa"/>
                  <w:tcBorders>
                    <w:top w:val="nil"/>
                    <w:left w:val="nil"/>
                    <w:bottom w:val="nil"/>
                    <w:right w:val="nil"/>
                  </w:tcBorders>
                  <w:shd w:val="clear" w:color="auto" w:fill="auto"/>
                  <w:noWrap/>
                  <w:vAlign w:val="bottom"/>
                </w:tcPr>
                <w:p>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noWrap/>
                  <w:vAlign w:val="bottom"/>
                </w:tcPr>
                <w:p>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noWrap/>
                  <w:vAlign w:val="bottom"/>
                </w:tcPr>
                <w:p>
                  <w:pPr>
                    <w:widowControl/>
                    <w:spacing w:line="240" w:lineRule="exact"/>
                    <w:jc w:val="left"/>
                    <w:rPr>
                      <w:rFonts w:ascii="Times New Roman" w:hAnsi="Times New Roman" w:eastAsia="Times New Roman" w:cs="Times New Roman"/>
                      <w:kern w:val="0"/>
                      <w:sz w:val="15"/>
                      <w:szCs w:val="15"/>
                    </w:rPr>
                  </w:pPr>
                </w:p>
              </w:tc>
              <w:tc>
                <w:tcPr>
                  <w:tcW w:w="762" w:type="dxa"/>
                  <w:tcBorders>
                    <w:top w:val="nil"/>
                    <w:left w:val="nil"/>
                    <w:bottom w:val="nil"/>
                    <w:right w:val="nil"/>
                  </w:tcBorders>
                  <w:shd w:val="clear" w:color="auto" w:fill="auto"/>
                  <w:noWrap/>
                  <w:vAlign w:val="bottom"/>
                </w:tcPr>
                <w:p>
                  <w:pPr>
                    <w:widowControl/>
                    <w:spacing w:line="240" w:lineRule="exact"/>
                    <w:jc w:val="left"/>
                    <w:rPr>
                      <w:rFonts w:ascii="Times New Roman" w:hAnsi="Times New Roman" w:eastAsia="Times New Roman" w:cs="Times New Roman"/>
                      <w:kern w:val="0"/>
                      <w:sz w:val="15"/>
                      <w:szCs w:val="15"/>
                    </w:rPr>
                  </w:pPr>
                </w:p>
              </w:tc>
              <w:tc>
                <w:tcPr>
                  <w:tcW w:w="2290" w:type="dxa"/>
                  <w:gridSpan w:val="3"/>
                  <w:tcBorders>
                    <w:top w:val="nil"/>
                    <w:left w:val="nil"/>
                    <w:bottom w:val="nil"/>
                    <w:right w:val="nil"/>
                  </w:tcBorders>
                  <w:shd w:val="clear" w:color="auto" w:fill="auto"/>
                  <w:noWrap/>
                  <w:vAlign w:val="bottom"/>
                </w:tcPr>
                <w:p>
                  <w:pPr>
                    <w:widowControl/>
                    <w:spacing w:line="240" w:lineRule="exact"/>
                    <w:ind w:right="300"/>
                    <w:jc w:val="right"/>
                    <w:rPr>
                      <w:rFonts w:ascii="宋体" w:eastAsia="宋体" w:cs="Arial"/>
                      <w:color w:val="000000"/>
                      <w:kern w:val="0"/>
                      <w:sz w:val="15"/>
                      <w:szCs w:val="15"/>
                    </w:rPr>
                  </w:pPr>
                  <w:r>
                    <w:rPr>
                      <w:rFonts w:hint="eastAsia" w:ascii="宋体" w:eastAsia="宋体" w:cs="Arial"/>
                      <w:color w:val="000000"/>
                      <w:kern w:val="0"/>
                      <w:sz w:val="15"/>
                      <w:szCs w:val="15"/>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2" w:type="dxa"/>
                <w:trHeight w:val="90" w:hRule="atLeast"/>
              </w:trPr>
              <w:tc>
                <w:tcPr>
                  <w:tcW w:w="2317" w:type="dxa"/>
                  <w:tcBorders>
                    <w:top w:val="nil"/>
                    <w:left w:val="nil"/>
                    <w:bottom w:val="nil"/>
                    <w:right w:val="nil"/>
                  </w:tcBorders>
                  <w:shd w:val="clear" w:color="auto" w:fill="auto"/>
                  <w:noWrap/>
                  <w:vAlign w:val="bottom"/>
                </w:tcPr>
                <w:p>
                  <w:pPr>
                    <w:widowControl/>
                    <w:spacing w:line="240" w:lineRule="exact"/>
                    <w:jc w:val="left"/>
                    <w:rPr>
                      <w:rFonts w:hint="eastAsia" w:ascii="宋体" w:eastAsia="宋体" w:cs="Arial"/>
                      <w:color w:val="000000"/>
                      <w:kern w:val="0"/>
                      <w:sz w:val="15"/>
                      <w:szCs w:val="15"/>
                    </w:rPr>
                  </w:pPr>
                  <w:r>
                    <w:rPr>
                      <w:rFonts w:hint="eastAsia" w:ascii="宋体" w:eastAsia="宋体" w:cs="Arial"/>
                      <w:color w:val="000000"/>
                      <w:kern w:val="0"/>
                      <w:sz w:val="15"/>
                      <w:szCs w:val="15"/>
                    </w:rPr>
                    <w:t>部门：</w:t>
                  </w:r>
                </w:p>
              </w:tc>
              <w:tc>
                <w:tcPr>
                  <w:tcW w:w="465" w:type="dxa"/>
                  <w:tcBorders>
                    <w:top w:val="nil"/>
                    <w:left w:val="nil"/>
                    <w:bottom w:val="nil"/>
                    <w:right w:val="nil"/>
                  </w:tcBorders>
                  <w:shd w:val="clear" w:color="auto" w:fill="auto"/>
                  <w:noWrap/>
                  <w:vAlign w:val="bottom"/>
                </w:tcPr>
                <w:p>
                  <w:pPr>
                    <w:widowControl/>
                    <w:spacing w:line="240" w:lineRule="exact"/>
                    <w:jc w:val="left"/>
                    <w:rPr>
                      <w:rFonts w:hint="eastAsia" w:ascii="宋体" w:eastAsia="宋体" w:cs="Arial"/>
                      <w:color w:val="000000"/>
                      <w:kern w:val="0"/>
                      <w:sz w:val="15"/>
                      <w:szCs w:val="15"/>
                    </w:rPr>
                  </w:pPr>
                </w:p>
              </w:tc>
              <w:tc>
                <w:tcPr>
                  <w:tcW w:w="748" w:type="dxa"/>
                  <w:tcBorders>
                    <w:top w:val="nil"/>
                    <w:left w:val="nil"/>
                    <w:bottom w:val="nil"/>
                    <w:right w:val="nil"/>
                  </w:tcBorders>
                  <w:shd w:val="clear" w:color="auto" w:fill="auto"/>
                  <w:noWrap/>
                  <w:vAlign w:val="bottom"/>
                </w:tcPr>
                <w:p>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noWrap/>
                  <w:vAlign w:val="bottom"/>
                </w:tcPr>
                <w:p>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noWrap/>
                  <w:vAlign w:val="bottom"/>
                </w:tcPr>
                <w:p>
                  <w:pPr>
                    <w:widowControl/>
                    <w:spacing w:line="240" w:lineRule="exact"/>
                    <w:jc w:val="left"/>
                    <w:rPr>
                      <w:rFonts w:ascii="Times New Roman" w:hAnsi="Times New Roman" w:eastAsia="Times New Roman" w:cs="Times New Roman"/>
                      <w:kern w:val="0"/>
                      <w:sz w:val="15"/>
                      <w:szCs w:val="15"/>
                    </w:rPr>
                  </w:pPr>
                </w:p>
              </w:tc>
              <w:tc>
                <w:tcPr>
                  <w:tcW w:w="762" w:type="dxa"/>
                  <w:tcBorders>
                    <w:top w:val="nil"/>
                    <w:left w:val="nil"/>
                    <w:bottom w:val="nil"/>
                    <w:right w:val="nil"/>
                  </w:tcBorders>
                  <w:shd w:val="clear" w:color="auto" w:fill="auto"/>
                  <w:noWrap/>
                  <w:vAlign w:val="bottom"/>
                </w:tcPr>
                <w:p>
                  <w:pPr>
                    <w:widowControl/>
                    <w:spacing w:line="240" w:lineRule="exact"/>
                    <w:jc w:val="left"/>
                    <w:rPr>
                      <w:rFonts w:ascii="Times New Roman" w:hAnsi="Times New Roman" w:eastAsia="Times New Roman" w:cs="Times New Roman"/>
                      <w:kern w:val="0"/>
                      <w:sz w:val="15"/>
                      <w:szCs w:val="15"/>
                    </w:rPr>
                  </w:pPr>
                </w:p>
              </w:tc>
              <w:tc>
                <w:tcPr>
                  <w:tcW w:w="834" w:type="dxa"/>
                  <w:tcBorders>
                    <w:top w:val="nil"/>
                    <w:left w:val="nil"/>
                    <w:bottom w:val="nil"/>
                    <w:right w:val="nil"/>
                  </w:tcBorders>
                  <w:shd w:val="clear" w:color="auto" w:fill="auto"/>
                  <w:noWrap/>
                  <w:vAlign w:val="bottom"/>
                </w:tcPr>
                <w:p>
                  <w:pPr>
                    <w:widowControl/>
                    <w:spacing w:line="240" w:lineRule="exact"/>
                    <w:jc w:val="left"/>
                    <w:rPr>
                      <w:rFonts w:ascii="Times New Roman" w:hAnsi="Times New Roman" w:eastAsia="Times New Roman" w:cs="Times New Roman"/>
                      <w:kern w:val="0"/>
                      <w:sz w:val="15"/>
                      <w:szCs w:val="15"/>
                    </w:rPr>
                  </w:pPr>
                </w:p>
              </w:tc>
              <w:tc>
                <w:tcPr>
                  <w:tcW w:w="1456" w:type="dxa"/>
                  <w:gridSpan w:val="2"/>
                  <w:tcBorders>
                    <w:top w:val="nil"/>
                    <w:left w:val="nil"/>
                    <w:bottom w:val="nil"/>
                    <w:right w:val="nil"/>
                  </w:tcBorders>
                  <w:shd w:val="clear" w:color="auto" w:fill="auto"/>
                  <w:noWrap/>
                  <w:vAlign w:val="bottom"/>
                </w:tcPr>
                <w:p>
                  <w:pPr>
                    <w:widowControl/>
                    <w:spacing w:line="240" w:lineRule="exact"/>
                    <w:jc w:val="center"/>
                    <w:rPr>
                      <w:rFonts w:ascii="宋体" w:eastAsia="宋体" w:cs="Arial"/>
                      <w:color w:val="000000"/>
                      <w:kern w:val="0"/>
                      <w:sz w:val="15"/>
                      <w:szCs w:val="15"/>
                    </w:rPr>
                  </w:pPr>
                  <w:r>
                    <w:rPr>
                      <w:rFonts w:hint="eastAsia" w:ascii="宋体" w:eastAsia="宋体" w:cs="Arial"/>
                      <w:color w:val="000000"/>
                      <w:kern w:val="0"/>
                      <w:sz w:val="15"/>
                      <w:szCs w:val="15"/>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2" w:type="dxa"/>
                <w:trHeight w:val="90" w:hRule="atLeast"/>
              </w:trPr>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黑体" w:eastAsia="黑体" w:cs="Arial"/>
                      <w:color w:val="000000"/>
                      <w:kern w:val="0"/>
                      <w:sz w:val="20"/>
                      <w:szCs w:val="20"/>
                    </w:rPr>
                  </w:pPr>
                  <w:r>
                    <w:rPr>
                      <w:rFonts w:hint="eastAsia" w:ascii="黑体" w:eastAsia="黑体" w:cs="Arial"/>
                      <w:color w:val="000000"/>
                      <w:kern w:val="0"/>
                      <w:sz w:val="20"/>
                      <w:szCs w:val="20"/>
                    </w:rPr>
                    <w:t>收     入</w:t>
                  </w:r>
                </w:p>
              </w:tc>
              <w:tc>
                <w:tcPr>
                  <w:tcW w:w="5954"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黑体" w:eastAsia="黑体" w:cs="Arial"/>
                      <w:color w:val="000000"/>
                      <w:kern w:val="0"/>
                      <w:sz w:val="20"/>
                      <w:szCs w:val="20"/>
                    </w:rPr>
                  </w:pPr>
                  <w:r>
                    <w:rPr>
                      <w:rFonts w:hint="eastAsia" w:ascii="黑体" w:eastAsia="黑体" w:cs="Arial"/>
                      <w:color w:val="000000"/>
                      <w:kern w:val="0"/>
                      <w:sz w:val="20"/>
                      <w:szCs w:val="20"/>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2" w:type="dxa"/>
                <w:trHeight w:val="312" w:hRule="atLeast"/>
              </w:trPr>
              <w:tc>
                <w:tcPr>
                  <w:tcW w:w="2317"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eastAsia="黑体" w:cs="Arial"/>
                      <w:color w:val="000000"/>
                      <w:kern w:val="0"/>
                      <w:sz w:val="15"/>
                      <w:szCs w:val="15"/>
                    </w:rPr>
                  </w:pPr>
                  <w:r>
                    <w:rPr>
                      <w:rFonts w:hint="eastAsia" w:ascii="黑体" w:eastAsia="黑体" w:cs="Arial"/>
                      <w:color w:val="000000"/>
                      <w:kern w:val="0"/>
                      <w:sz w:val="15"/>
                      <w:szCs w:val="15"/>
                    </w:rPr>
                    <w:t>项目</w:t>
                  </w:r>
                </w:p>
              </w:tc>
              <w:tc>
                <w:tcPr>
                  <w:tcW w:w="46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eastAsia="黑体" w:cs="Arial"/>
                      <w:color w:val="000000"/>
                      <w:kern w:val="0"/>
                      <w:sz w:val="15"/>
                      <w:szCs w:val="15"/>
                    </w:rPr>
                  </w:pPr>
                  <w:r>
                    <w:rPr>
                      <w:rFonts w:hint="eastAsia" w:ascii="黑体" w:eastAsia="黑体" w:cs="Arial"/>
                      <w:color w:val="000000"/>
                      <w:kern w:val="0"/>
                      <w:sz w:val="15"/>
                      <w:szCs w:val="15"/>
                    </w:rPr>
                    <w:t>行次</w:t>
                  </w:r>
                </w:p>
              </w:tc>
              <w:tc>
                <w:tcPr>
                  <w:tcW w:w="748"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eastAsia="黑体" w:cs="Arial"/>
                      <w:color w:val="000000"/>
                      <w:kern w:val="0"/>
                      <w:sz w:val="15"/>
                      <w:szCs w:val="15"/>
                    </w:rPr>
                  </w:pPr>
                  <w:r>
                    <w:rPr>
                      <w:rFonts w:hint="eastAsia" w:ascii="黑体" w:eastAsia="黑体" w:cs="Arial"/>
                      <w:color w:val="000000"/>
                      <w:kern w:val="0"/>
                      <w:sz w:val="15"/>
                      <w:szCs w:val="15"/>
                    </w:rPr>
                    <w:t>金额</w:t>
                  </w:r>
                </w:p>
              </w:tc>
              <w:tc>
                <w:tcPr>
                  <w:tcW w:w="245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eastAsia="黑体" w:cs="Arial"/>
                      <w:color w:val="000000"/>
                      <w:kern w:val="0"/>
                      <w:sz w:val="15"/>
                      <w:szCs w:val="15"/>
                    </w:rPr>
                  </w:pPr>
                  <w:r>
                    <w:rPr>
                      <w:rFonts w:hint="eastAsia" w:ascii="黑体" w:eastAsia="黑体" w:cs="Arial"/>
                      <w:color w:val="000000"/>
                      <w:kern w:val="0"/>
                      <w:sz w:val="15"/>
                      <w:szCs w:val="15"/>
                    </w:rPr>
                    <w:t>项目</w:t>
                  </w:r>
                </w:p>
              </w:tc>
              <w:tc>
                <w:tcPr>
                  <w:tcW w:w="44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eastAsia="黑体" w:cs="Arial"/>
                      <w:color w:val="000000"/>
                      <w:kern w:val="0"/>
                      <w:sz w:val="15"/>
                      <w:szCs w:val="15"/>
                    </w:rPr>
                  </w:pPr>
                  <w:r>
                    <w:rPr>
                      <w:rFonts w:hint="eastAsia" w:ascii="黑体" w:eastAsia="黑体" w:cs="Arial"/>
                      <w:color w:val="000000"/>
                      <w:kern w:val="0"/>
                      <w:sz w:val="15"/>
                      <w:szCs w:val="15"/>
                    </w:rPr>
                    <w:t>行次</w:t>
                  </w:r>
                </w:p>
              </w:tc>
              <w:tc>
                <w:tcPr>
                  <w:tcW w:w="762"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eastAsia="黑体" w:cs="Arial"/>
                      <w:color w:val="000000"/>
                      <w:kern w:val="0"/>
                      <w:sz w:val="15"/>
                      <w:szCs w:val="15"/>
                    </w:rPr>
                  </w:pPr>
                  <w:r>
                    <w:rPr>
                      <w:rFonts w:hint="eastAsia" w:ascii="黑体" w:eastAsia="黑体" w:cs="Arial"/>
                      <w:color w:val="000000"/>
                      <w:kern w:val="0"/>
                      <w:sz w:val="15"/>
                      <w:szCs w:val="15"/>
                    </w:rPr>
                    <w:t>合计</w:t>
                  </w:r>
                </w:p>
              </w:tc>
              <w:tc>
                <w:tcPr>
                  <w:tcW w:w="834"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eastAsia="黑体" w:cs="Arial"/>
                      <w:color w:val="000000"/>
                      <w:kern w:val="0"/>
                      <w:sz w:val="13"/>
                      <w:szCs w:val="13"/>
                    </w:rPr>
                  </w:pPr>
                  <w:r>
                    <w:rPr>
                      <w:rFonts w:hint="eastAsia" w:ascii="黑体" w:eastAsia="黑体" w:cs="Arial"/>
                      <w:color w:val="000000"/>
                      <w:kern w:val="0"/>
                      <w:sz w:val="13"/>
                      <w:szCs w:val="13"/>
                    </w:rPr>
                    <w:t>一般公共预算财政拨款</w:t>
                  </w:r>
                </w:p>
              </w:tc>
              <w:tc>
                <w:tcPr>
                  <w:tcW w:w="70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eastAsia="黑体" w:cs="Arial"/>
                      <w:color w:val="000000"/>
                      <w:kern w:val="0"/>
                      <w:sz w:val="10"/>
                      <w:szCs w:val="10"/>
                    </w:rPr>
                  </w:pPr>
                  <w:r>
                    <w:rPr>
                      <w:rFonts w:hint="eastAsia" w:ascii="黑体" w:eastAsia="黑体" w:cs="Arial"/>
                      <w:color w:val="000000"/>
                      <w:kern w:val="0"/>
                      <w:sz w:val="10"/>
                      <w:szCs w:val="10"/>
                    </w:rPr>
                    <w:t>政府性基金预算财政拨款</w:t>
                  </w:r>
                </w:p>
              </w:tc>
              <w:tc>
                <w:tcPr>
                  <w:tcW w:w="75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eastAsia="黑体" w:cs="Arial"/>
                      <w:color w:val="000000"/>
                      <w:kern w:val="0"/>
                      <w:sz w:val="10"/>
                      <w:szCs w:val="10"/>
                    </w:rPr>
                  </w:pPr>
                  <w:r>
                    <w:rPr>
                      <w:rFonts w:hint="eastAsia" w:ascii="黑体" w:eastAsia="黑体" w:cs="Arial"/>
                      <w:color w:val="000000"/>
                      <w:kern w:val="0"/>
                      <w:sz w:val="10"/>
                      <w:szCs w:val="10"/>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2317" w:type="dxa"/>
                  <w:vMerge w:val="continue"/>
                  <w:tcBorders>
                    <w:top w:val="nil"/>
                    <w:left w:val="single" w:color="000000" w:sz="4" w:space="0"/>
                    <w:bottom w:val="single" w:color="000000" w:sz="4" w:space="0"/>
                    <w:right w:val="single" w:color="000000" w:sz="4" w:space="0"/>
                  </w:tcBorders>
                  <w:noWrap/>
                  <w:vAlign w:val="center"/>
                </w:tcPr>
                <w:p/>
              </w:tc>
              <w:tc>
                <w:tcPr>
                  <w:tcW w:w="465" w:type="dxa"/>
                  <w:vMerge w:val="continue"/>
                  <w:tcBorders>
                    <w:top w:val="nil"/>
                    <w:left w:val="nil"/>
                    <w:bottom w:val="single" w:color="000000" w:sz="4" w:space="0"/>
                    <w:right w:val="single" w:color="000000" w:sz="4" w:space="0"/>
                  </w:tcBorders>
                  <w:noWrap/>
                  <w:vAlign w:val="center"/>
                </w:tcPr>
                <w:p/>
              </w:tc>
              <w:tc>
                <w:tcPr>
                  <w:tcW w:w="748" w:type="dxa"/>
                  <w:vMerge w:val="continue"/>
                  <w:tcBorders>
                    <w:top w:val="nil"/>
                    <w:left w:val="nil"/>
                    <w:bottom w:val="single" w:color="000000" w:sz="4" w:space="0"/>
                    <w:right w:val="single" w:color="000000" w:sz="4" w:space="0"/>
                  </w:tcBorders>
                  <w:noWrap/>
                  <w:vAlign w:val="center"/>
                </w:tcPr>
                <w:p/>
              </w:tc>
              <w:tc>
                <w:tcPr>
                  <w:tcW w:w="2456" w:type="dxa"/>
                  <w:vMerge w:val="continue"/>
                  <w:tcBorders>
                    <w:top w:val="nil"/>
                    <w:left w:val="nil"/>
                    <w:bottom w:val="single" w:color="000000" w:sz="4" w:space="0"/>
                    <w:right w:val="single" w:color="000000" w:sz="4" w:space="0"/>
                  </w:tcBorders>
                  <w:noWrap/>
                  <w:vAlign w:val="center"/>
                </w:tcPr>
                <w:p/>
              </w:tc>
              <w:tc>
                <w:tcPr>
                  <w:tcW w:w="446" w:type="dxa"/>
                  <w:vMerge w:val="continue"/>
                  <w:tcBorders>
                    <w:top w:val="nil"/>
                    <w:left w:val="nil"/>
                    <w:bottom w:val="single" w:color="000000" w:sz="4" w:space="0"/>
                    <w:right w:val="single" w:color="000000" w:sz="4" w:space="0"/>
                  </w:tcBorders>
                  <w:noWrap/>
                  <w:vAlign w:val="center"/>
                </w:tcPr>
                <w:p/>
              </w:tc>
              <w:tc>
                <w:tcPr>
                  <w:tcW w:w="762" w:type="dxa"/>
                  <w:vMerge w:val="continue"/>
                  <w:tcBorders>
                    <w:top w:val="nil"/>
                    <w:left w:val="nil"/>
                    <w:bottom w:val="single" w:color="000000" w:sz="4" w:space="0"/>
                    <w:right w:val="single" w:color="000000" w:sz="4" w:space="0"/>
                  </w:tcBorders>
                  <w:noWrap/>
                  <w:vAlign w:val="center"/>
                </w:tcPr>
                <w:p/>
              </w:tc>
              <w:tc>
                <w:tcPr>
                  <w:tcW w:w="834" w:type="dxa"/>
                  <w:vMerge w:val="continue"/>
                  <w:tcBorders>
                    <w:top w:val="nil"/>
                    <w:left w:val="nil"/>
                    <w:bottom w:val="single" w:color="000000" w:sz="4" w:space="0"/>
                    <w:right w:val="single" w:color="000000" w:sz="4" w:space="0"/>
                  </w:tcBorders>
                  <w:noWrap/>
                  <w:vAlign w:val="center"/>
                </w:tcPr>
                <w:p/>
              </w:tc>
              <w:tc>
                <w:tcPr>
                  <w:tcW w:w="700" w:type="dxa"/>
                  <w:vMerge w:val="continue"/>
                  <w:tcBorders>
                    <w:top w:val="nil"/>
                    <w:left w:val="nil"/>
                    <w:bottom w:val="single" w:color="000000" w:sz="4" w:space="0"/>
                    <w:right w:val="single" w:color="000000" w:sz="4" w:space="0"/>
                  </w:tcBorders>
                  <w:noWrap/>
                  <w:vAlign w:val="center"/>
                </w:tcPr>
                <w:p/>
              </w:tc>
              <w:tc>
                <w:tcPr>
                  <w:tcW w:w="756" w:type="dxa"/>
                  <w:vMerge w:val="continue"/>
                  <w:tcBorders>
                    <w:top w:val="nil"/>
                    <w:left w:val="nil"/>
                    <w:bottom w:val="single" w:color="000000" w:sz="4" w:space="0"/>
                    <w:right w:val="single" w:color="000000" w:sz="4" w:space="0"/>
                  </w:tcBorders>
                  <w:noWrap/>
                  <w:vAlign w:val="center"/>
                </w:tcPr>
                <w:p/>
              </w:tc>
              <w:tc>
                <w:tcPr>
                  <w:tcW w:w="252" w:type="dxa"/>
                  <w:tcBorders>
                    <w:top w:val="nil"/>
                    <w:left w:val="nil"/>
                    <w:bottom w:val="nil"/>
                    <w:right w:val="nil"/>
                  </w:tcBorders>
                  <w:shd w:val="clear" w:color="auto" w:fill="auto"/>
                  <w:noWrap/>
                  <w:vAlign w:val="bottom"/>
                </w:tcPr>
                <w:p>
                  <w:pPr>
                    <w:widowControl/>
                    <w:jc w:val="center"/>
                    <w:rPr>
                      <w:rFonts w:hint="eastAsia" w:ascii="宋体" w:eastAsia="宋体" w:cs="Arial"/>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栏次</w:t>
                  </w: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1</w:t>
                  </w: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栏次</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2</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3</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4</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5</w:t>
                  </w: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一、一般公共预算财政拨款</w:t>
                  </w: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1</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lang w:val="en-US" w:eastAsia="zh-CN"/>
                    </w:rPr>
                  </w:pPr>
                  <w:r>
                    <w:rPr>
                      <w:rFonts w:hint="eastAsia" w:ascii="宋体" w:eastAsia="宋体" w:cs="Arial"/>
                      <w:color w:val="000000"/>
                      <w:kern w:val="0"/>
                      <w:sz w:val="15"/>
                      <w:szCs w:val="15"/>
                      <w:lang w:val="en-US" w:eastAsia="zh-CN"/>
                    </w:rPr>
                    <w:t>1441.97</w:t>
                  </w: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一、一般公共服务支出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33</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lang w:val="en-US" w:eastAsia="zh-CN"/>
                    </w:rPr>
                  </w:pPr>
                  <w:r>
                    <w:rPr>
                      <w:rFonts w:hint="eastAsia" w:ascii="宋体" w:eastAsia="宋体" w:cs="Arial"/>
                      <w:color w:val="000000"/>
                      <w:kern w:val="0"/>
                      <w:sz w:val="15"/>
                      <w:szCs w:val="15"/>
                      <w:lang w:val="en-US" w:eastAsia="zh-CN"/>
                    </w:rPr>
                    <w:t>1233.52</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1233.52</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二、政府性基金预算财政拨款</w:t>
                  </w: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2</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二、外交支出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34</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三、国有资本经营财政拨款</w:t>
                  </w: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3</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三、国防支出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35</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4</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四、公共安全支出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36</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5</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五、教育支出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37</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6</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六、科学技术支出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38</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7</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七、文化旅游体育与传媒支出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39</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8</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八、社会保障和就业支出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40</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lang w:val="en-US" w:eastAsia="zh-CN"/>
                    </w:rPr>
                  </w:pPr>
                  <w:r>
                    <w:rPr>
                      <w:rFonts w:hint="eastAsia" w:ascii="宋体" w:eastAsia="宋体" w:cs="Arial"/>
                      <w:color w:val="000000"/>
                      <w:kern w:val="0"/>
                      <w:sz w:val="15"/>
                      <w:szCs w:val="15"/>
                      <w:lang w:val="en-US" w:eastAsia="zh-CN"/>
                    </w:rPr>
                    <w:t>80.24</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80.24</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9</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九、卫生健康支出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41</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lang w:val="en-US" w:eastAsia="zh-CN"/>
                    </w:rPr>
                  </w:pPr>
                  <w:r>
                    <w:rPr>
                      <w:rFonts w:hint="eastAsia" w:ascii="宋体" w:eastAsia="宋体" w:cs="Arial"/>
                      <w:color w:val="000000"/>
                      <w:kern w:val="0"/>
                      <w:sz w:val="15"/>
                      <w:szCs w:val="15"/>
                      <w:lang w:val="en-US" w:eastAsia="zh-CN"/>
                    </w:rPr>
                    <w:t>74.00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74.00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10</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十、节能环保支出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42</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11</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十一、城乡社区支出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43</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12</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十二、农林水支出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44</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13</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十三、交通运输支出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45</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14</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十四、资源勘探工业信息等支出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46</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15</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十五、商业服务业等支出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47</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16</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十六、金融支出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48</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17</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十七、援助其他地区支出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49</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18</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十八、自然资源海洋气象等支出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50</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19</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十九、住房保障支出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51</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lang w:val="en-US" w:eastAsia="zh-CN"/>
                    </w:rPr>
                  </w:pPr>
                  <w:r>
                    <w:rPr>
                      <w:rFonts w:hint="eastAsia" w:ascii="宋体" w:eastAsia="宋体" w:cs="Arial"/>
                      <w:color w:val="000000"/>
                      <w:kern w:val="0"/>
                      <w:sz w:val="15"/>
                      <w:szCs w:val="15"/>
                      <w:lang w:val="en-US" w:eastAsia="zh-CN"/>
                    </w:rPr>
                    <w:t>60.23</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60.23</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20</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二十、粮油物资储备支出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52</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21</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二十一、国有资本经营预算支出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53</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22</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3"/>
                      <w:szCs w:val="13"/>
                    </w:rPr>
                    <w:t>二十二、灾害防治及应急管理支出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54</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23</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二十三、其他支出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55</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25</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二十五、债务付息支出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57</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26</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二十六、抗疫特别国债安排的支出</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58</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Times New Roman" w:cs="Times New Roman"/>
                      <w:kern w:val="0"/>
                      <w:sz w:val="15"/>
                      <w:szCs w:val="15"/>
                    </w:rPr>
                  </w:pPr>
                  <w:r>
                    <w:rPr>
                      <w:rFonts w:hint="eastAsia" w:ascii="宋体" w:eastAsia="宋体" w:cs="Arial"/>
                      <w:b/>
                      <w:bCs/>
                      <w:color w:val="000000"/>
                      <w:kern w:val="0"/>
                      <w:sz w:val="15"/>
                      <w:szCs w:val="15"/>
                    </w:rPr>
                    <w:t>本年收入合计</w:t>
                  </w: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27</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lang w:val="en-US" w:eastAsia="zh-CN"/>
                    </w:rPr>
                  </w:pPr>
                  <w:r>
                    <w:rPr>
                      <w:rFonts w:hint="eastAsia" w:ascii="宋体" w:eastAsia="宋体" w:cs="Arial"/>
                      <w:color w:val="000000"/>
                      <w:kern w:val="0"/>
                      <w:sz w:val="15"/>
                      <w:szCs w:val="15"/>
                      <w:lang w:val="en-US" w:eastAsia="zh-CN"/>
                    </w:rPr>
                    <w:t>1441.97</w:t>
                  </w: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b/>
                      <w:bCs/>
                      <w:color w:val="000000"/>
                      <w:kern w:val="0"/>
                      <w:sz w:val="15"/>
                      <w:szCs w:val="15"/>
                    </w:rPr>
                    <w:t>本年支出合计</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59</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lang w:val="en-US" w:eastAsia="zh-CN"/>
                    </w:rPr>
                  </w:pPr>
                  <w:r>
                    <w:rPr>
                      <w:rFonts w:hint="eastAsia" w:ascii="宋体" w:eastAsia="宋体" w:cs="Arial"/>
                      <w:color w:val="000000"/>
                      <w:kern w:val="0"/>
                      <w:sz w:val="15"/>
                      <w:szCs w:val="15"/>
                      <w:lang w:val="en-US" w:eastAsia="zh-CN"/>
                    </w:rPr>
                    <w:t>1447.99</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1447.99</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b/>
                      <w:bCs/>
                      <w:color w:val="000000"/>
                      <w:kern w:val="0"/>
                      <w:sz w:val="15"/>
                      <w:szCs w:val="15"/>
                    </w:rPr>
                  </w:pPr>
                  <w:r>
                    <w:rPr>
                      <w:rFonts w:hint="eastAsia" w:ascii="宋体" w:eastAsia="宋体" w:cs="Arial"/>
                      <w:color w:val="000000"/>
                      <w:kern w:val="0"/>
                      <w:sz w:val="15"/>
                      <w:szCs w:val="15"/>
                    </w:rPr>
                    <w:t>年初财政拨款结转和结余</w:t>
                  </w: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28</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lang w:val="en-US" w:eastAsia="zh-CN"/>
                    </w:rPr>
                  </w:pPr>
                  <w:r>
                    <w:rPr>
                      <w:rFonts w:hint="eastAsia" w:ascii="宋体" w:eastAsia="宋体" w:cs="Arial"/>
                      <w:color w:val="000000"/>
                      <w:kern w:val="0"/>
                      <w:sz w:val="15"/>
                      <w:szCs w:val="15"/>
                      <w:lang w:val="en-US" w:eastAsia="zh-CN"/>
                    </w:rPr>
                    <w:t>6.02</w:t>
                  </w: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b/>
                      <w:bCs/>
                      <w:color w:val="000000"/>
                      <w:kern w:val="0"/>
                      <w:sz w:val="15"/>
                      <w:szCs w:val="15"/>
                    </w:rPr>
                  </w:pPr>
                  <w:r>
                    <w:rPr>
                      <w:rFonts w:hint="eastAsia" w:ascii="宋体" w:eastAsia="宋体" w:cs="Arial"/>
                      <w:color w:val="000000"/>
                      <w:kern w:val="0"/>
                      <w:sz w:val="15"/>
                      <w:szCs w:val="15"/>
                    </w:rPr>
                    <w:t>年末财政拨款结转和结余</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60</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 xml:space="preserve">  一般公共预算财政拨款</w:t>
                  </w: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29</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lang w:val="en-US" w:eastAsia="zh-CN"/>
                    </w:rPr>
                  </w:pPr>
                  <w:r>
                    <w:rPr>
                      <w:rFonts w:hint="eastAsia" w:ascii="宋体" w:eastAsia="宋体" w:cs="Arial"/>
                      <w:color w:val="000000"/>
                      <w:kern w:val="0"/>
                      <w:sz w:val="15"/>
                      <w:szCs w:val="15"/>
                      <w:lang w:val="en-US" w:eastAsia="zh-CN"/>
                    </w:rPr>
                    <w:t>6.02</w:t>
                  </w: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宋体" w:eastAsia="宋体" w:cs="Arial"/>
                      <w:color w:val="000000"/>
                      <w:kern w:val="0"/>
                      <w:sz w:val="15"/>
                      <w:szCs w:val="15"/>
                    </w:rPr>
                  </w:pP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61</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 xml:space="preserve">  政府性基金预算财政拨款</w:t>
                  </w: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30</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62</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eastAsia="宋体" w:cs="Arial"/>
                      <w:color w:val="000000"/>
                      <w:kern w:val="0"/>
                      <w:sz w:val="15"/>
                      <w:szCs w:val="15"/>
                    </w:rPr>
                  </w:pPr>
                  <w:r>
                    <w:rPr>
                      <w:rFonts w:hint="eastAsia" w:ascii="宋体" w:eastAsia="宋体" w:cs="Arial"/>
                      <w:color w:val="000000"/>
                      <w:kern w:val="0"/>
                      <w:sz w:val="15"/>
                      <w:szCs w:val="15"/>
                    </w:rPr>
                    <w:t xml:space="preserve">  国有资本经营预算财政拨款</w:t>
                  </w:r>
                </w:p>
              </w:tc>
              <w:tc>
                <w:tcPr>
                  <w:tcW w:w="4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31</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63</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b/>
                      <w:bCs/>
                      <w:color w:val="000000"/>
                      <w:kern w:val="0"/>
                      <w:sz w:val="15"/>
                      <w:szCs w:val="15"/>
                    </w:rPr>
                    <w:t>总计</w:t>
                  </w:r>
                </w:p>
              </w:tc>
              <w:tc>
                <w:tcPr>
                  <w:tcW w:w="465" w:type="dxa"/>
                  <w:tcBorders>
                    <w:top w:val="nil"/>
                    <w:left w:val="nil"/>
                    <w:bottom w:val="single" w:color="000000" w:sz="8"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eastAsia="宋体" w:cs="Arial"/>
                      <w:color w:val="000000"/>
                      <w:kern w:val="0"/>
                      <w:sz w:val="15"/>
                      <w:szCs w:val="15"/>
                    </w:rPr>
                  </w:pPr>
                  <w:r>
                    <w:rPr>
                      <w:rFonts w:hint="eastAsia" w:ascii="宋体" w:eastAsia="宋体" w:cs="Arial"/>
                      <w:color w:val="000000"/>
                      <w:kern w:val="0"/>
                      <w:sz w:val="15"/>
                      <w:szCs w:val="15"/>
                    </w:rPr>
                    <w:t>32</w:t>
                  </w:r>
                </w:p>
              </w:tc>
              <w:tc>
                <w:tcPr>
                  <w:tcW w:w="7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lang w:val="en-US" w:eastAsia="zh-CN"/>
                    </w:rPr>
                  </w:pPr>
                  <w:r>
                    <w:rPr>
                      <w:rFonts w:hint="eastAsia" w:ascii="宋体" w:eastAsia="宋体" w:cs="Arial"/>
                      <w:color w:val="000000"/>
                      <w:kern w:val="0"/>
                      <w:sz w:val="15"/>
                      <w:szCs w:val="15"/>
                      <w:lang w:val="en-US" w:eastAsia="zh-CN"/>
                    </w:rPr>
                    <w:t>1447.99</w:t>
                  </w: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Times New Roman" w:cs="Times New Roman"/>
                      <w:kern w:val="0"/>
                      <w:sz w:val="15"/>
                      <w:szCs w:val="15"/>
                    </w:rPr>
                  </w:pPr>
                  <w:r>
                    <w:rPr>
                      <w:rFonts w:hint="eastAsia" w:ascii="宋体" w:eastAsia="宋体" w:cs="Arial"/>
                      <w:b/>
                      <w:bCs/>
                      <w:color w:val="000000"/>
                      <w:kern w:val="0"/>
                      <w:sz w:val="15"/>
                      <w:szCs w:val="15"/>
                    </w:rPr>
                    <w:t>总计</w:t>
                  </w:r>
                </w:p>
              </w:tc>
              <w:tc>
                <w:tcPr>
                  <w:tcW w:w="44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rPr>
                  </w:pPr>
                  <w:r>
                    <w:rPr>
                      <w:rFonts w:hint="eastAsia" w:ascii="宋体" w:eastAsia="宋体" w:cs="Arial"/>
                      <w:color w:val="000000"/>
                      <w:kern w:val="0"/>
                      <w:sz w:val="15"/>
                      <w:szCs w:val="15"/>
                    </w:rPr>
                    <w:t>64</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eastAsia="宋体" w:cs="Arial"/>
                      <w:color w:val="000000"/>
                      <w:kern w:val="0"/>
                      <w:sz w:val="15"/>
                      <w:szCs w:val="15"/>
                      <w:lang w:val="en-US" w:eastAsia="zh-CN"/>
                    </w:rPr>
                  </w:pPr>
                  <w:r>
                    <w:rPr>
                      <w:rFonts w:hint="eastAsia" w:ascii="宋体" w:eastAsia="宋体" w:cs="Arial"/>
                      <w:color w:val="000000"/>
                      <w:kern w:val="0"/>
                      <w:sz w:val="15"/>
                      <w:szCs w:val="15"/>
                      <w:lang w:val="en-US" w:eastAsia="zh-CN"/>
                    </w:rPr>
                    <w:t>1447.99</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1447.99</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84" w:type="dxa"/>
                  <w:gridSpan w:val="9"/>
                  <w:tcBorders>
                    <w:top w:val="nil"/>
                    <w:left w:val="nil"/>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Times New Roman" w:hAnsi="Times New Roman" w:eastAsia="Times New Roman" w:cs="Times New Roman"/>
                      <w:kern w:val="0"/>
                      <w:sz w:val="15"/>
                      <w:szCs w:val="15"/>
                    </w:rPr>
                  </w:pPr>
                  <w:r>
                    <w:rPr>
                      <w:rFonts w:hint="eastAsia" w:ascii="宋体" w:eastAsia="宋体" w:cs="Arial"/>
                      <w:color w:val="000000"/>
                      <w:kern w:val="0"/>
                      <w:sz w:val="15"/>
                      <w:szCs w:val="15"/>
                    </w:rPr>
                    <w:t>注：本表反映部门本年度一般公共预算财政拨款、政府性基金预算财政拨款和国有资本经营预算财政拨款的总收支和年末结转结余情况。</w:t>
                  </w:r>
                </w:p>
              </w:tc>
              <w:tc>
                <w:tcPr>
                  <w:tcW w:w="252" w:type="dxa"/>
                  <w:noWrap/>
                  <w:vAlign w:val="center"/>
                </w:tcPr>
                <w:p>
                  <w:pPr>
                    <w:widowControl/>
                    <w:jc w:val="left"/>
                    <w:rPr>
                      <w:rFonts w:ascii="Times New Roman" w:hAnsi="Times New Roman" w:eastAsia="Times New Roman"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84" w:type="dxa"/>
                  <w:gridSpan w:val="9"/>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eastAsia="宋体" w:cs="Arial"/>
                      <w:color w:val="000000"/>
                      <w:kern w:val="0"/>
                      <w:sz w:val="15"/>
                      <w:szCs w:val="15"/>
                    </w:rPr>
                  </w:pPr>
                </w:p>
              </w:tc>
              <w:tc>
                <w:tcPr>
                  <w:tcW w:w="252" w:type="dxa"/>
                  <w:noWrap/>
                  <w:vAlign w:val="center"/>
                </w:tcPr>
                <w:p>
                  <w:pPr>
                    <w:widowControl/>
                    <w:jc w:val="left"/>
                    <w:rPr>
                      <w:rFonts w:ascii="Times New Roman" w:hAnsi="Times New Roman" w:eastAsia="Times New Roman" w:cs="Times New Roman"/>
                      <w:kern w:val="0"/>
                      <w:sz w:val="15"/>
                      <w:szCs w:val="15"/>
                    </w:rPr>
                  </w:pPr>
                </w:p>
              </w:tc>
            </w:tr>
          </w:tbl>
          <w:p>
            <w:pPr>
              <w:widowControl/>
              <w:jc w:val="center"/>
              <w:textAlignment w:val="center"/>
              <w:rPr>
                <w:rFonts w:ascii="黑体" w:eastAsia="黑体" w:cs="黑体"/>
                <w:color w:val="000000"/>
                <w:sz w:val="28"/>
                <w:szCs w:val="28"/>
              </w:rPr>
            </w:pPr>
            <w:r>
              <w:rPr>
                <w:rFonts w:hint="eastAsia" w:ascii="黑体" w:eastAsia="黑体" w:cs="黑体"/>
                <w:color w:val="000000"/>
                <w:kern w:val="0"/>
                <w:sz w:val="28"/>
                <w:szCs w:val="28"/>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3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6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18"/>
                <w:szCs w:val="18"/>
              </w:rPr>
            </w:pPr>
            <w:r>
              <w:rPr>
                <w:rFonts w:hint="eastAsia" w:ascii="宋体" w:eastAsia="宋体" w:cs="宋体"/>
                <w:color w:val="000000"/>
                <w:kern w:val="0"/>
                <w:sz w:val="18"/>
                <w:szCs w:val="18"/>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3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6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30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项目</w:t>
            </w:r>
          </w:p>
        </w:tc>
        <w:tc>
          <w:tcPr>
            <w:tcW w:w="6987"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功能分类科目编码</w:t>
            </w:r>
          </w:p>
        </w:tc>
        <w:tc>
          <w:tcPr>
            <w:tcW w:w="169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科目名称</w:t>
            </w:r>
          </w:p>
        </w:tc>
        <w:tc>
          <w:tcPr>
            <w:tcW w:w="232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小计</w:t>
            </w:r>
          </w:p>
        </w:tc>
        <w:tc>
          <w:tcPr>
            <w:tcW w:w="232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基本支出</w:t>
            </w:r>
          </w:p>
        </w:tc>
        <w:tc>
          <w:tcPr>
            <w:tcW w:w="2329"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0"/>
              </w:rPr>
            </w:pPr>
            <w:r>
              <w:rPr>
                <w:rFonts w:hint="eastAsia" w:ascii="黑体" w:eastAsia="黑体" w:cs="宋体"/>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232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232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2329"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232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232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2329"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栏次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2</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合计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18"/>
                <w:szCs w:val="18"/>
                <w:lang w:val="en-US" w:eastAsia="zh-CN"/>
              </w:rPr>
            </w:pPr>
            <w:r>
              <w:rPr>
                <w:rFonts w:hint="eastAsia" w:ascii="宋体" w:eastAsia="宋体" w:cs="宋体"/>
                <w:b/>
                <w:color w:val="000000"/>
                <w:sz w:val="18"/>
                <w:szCs w:val="18"/>
                <w:lang w:val="en-US" w:eastAsia="zh-CN"/>
              </w:rPr>
              <w:t>1447.99</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18"/>
                <w:szCs w:val="18"/>
                <w:lang w:val="en-US" w:eastAsia="zh-CN"/>
              </w:rPr>
            </w:pPr>
            <w:r>
              <w:rPr>
                <w:rFonts w:hint="eastAsia" w:ascii="宋体" w:eastAsia="宋体" w:cs="宋体"/>
                <w:b/>
                <w:color w:val="000000"/>
                <w:sz w:val="18"/>
                <w:szCs w:val="18"/>
                <w:lang w:val="en-US" w:eastAsia="zh-CN"/>
              </w:rPr>
              <w:t>1152.85</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18"/>
                <w:szCs w:val="18"/>
                <w:lang w:val="en-US" w:eastAsia="zh-CN"/>
              </w:rPr>
            </w:pPr>
            <w:r>
              <w:rPr>
                <w:rFonts w:hint="eastAsia" w:ascii="宋体" w:eastAsia="宋体" w:cs="宋体"/>
                <w:b/>
                <w:color w:val="000000"/>
                <w:sz w:val="18"/>
                <w:szCs w:val="18"/>
                <w:lang w:val="en-US" w:eastAsia="zh-CN"/>
              </w:rPr>
              <w:t>295.14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8"/>
                <w:szCs w:val="18"/>
                <w:lang w:val="en-US" w:eastAsia="zh-CN" w:bidi="ar-SA"/>
              </w:rPr>
            </w:pPr>
            <w:r>
              <w:rPr>
                <w:rFonts w:hint="eastAsia" w:ascii="宋体" w:eastAsia="宋体" w:cs="宋体"/>
                <w:color w:val="000000"/>
                <w:sz w:val="18"/>
                <w:szCs w:val="18"/>
                <w:lang w:val="en-US" w:eastAsia="zh-CN"/>
              </w:rPr>
              <w:t>201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kern w:val="2"/>
                <w:sz w:val="18"/>
                <w:szCs w:val="18"/>
                <w:lang w:val="en-US" w:eastAsia="zh-CN" w:bidi="ar-SA"/>
              </w:rPr>
            </w:pPr>
            <w:r>
              <w:rPr>
                <w:rFonts w:hint="eastAsia" w:ascii="宋体" w:eastAsia="宋体" w:cs="宋体"/>
                <w:color w:val="000000"/>
                <w:sz w:val="18"/>
                <w:szCs w:val="18"/>
                <w:lang w:eastAsia="zh-CN"/>
              </w:rPr>
              <w:t>一般公共服务支出</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1233.52</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938.38</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295.14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8"/>
                <w:szCs w:val="18"/>
                <w:lang w:val="en-US" w:eastAsia="zh-CN" w:bidi="ar-SA"/>
              </w:rPr>
            </w:pPr>
            <w:r>
              <w:rPr>
                <w:rFonts w:hint="eastAsia" w:ascii="宋体" w:eastAsia="宋体" w:cs="宋体"/>
                <w:color w:val="000000"/>
                <w:sz w:val="18"/>
                <w:szCs w:val="18"/>
                <w:lang w:val="en-US" w:eastAsia="zh-CN"/>
              </w:rPr>
              <w:t>20111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kern w:val="2"/>
                <w:sz w:val="18"/>
                <w:szCs w:val="18"/>
                <w:lang w:val="en-US" w:eastAsia="zh-CN" w:bidi="ar-SA"/>
              </w:rPr>
            </w:pPr>
            <w:r>
              <w:rPr>
                <w:rFonts w:hint="eastAsia" w:ascii="宋体" w:eastAsia="宋体" w:cs="宋体"/>
                <w:color w:val="000000"/>
                <w:sz w:val="18"/>
                <w:szCs w:val="18"/>
                <w:lang w:eastAsia="zh-CN"/>
              </w:rPr>
              <w:t>纪检监察事务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1233.52</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938.38</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295.14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8"/>
                <w:szCs w:val="18"/>
                <w:lang w:val="en-US" w:eastAsia="zh-CN" w:bidi="ar-SA"/>
              </w:rPr>
            </w:pPr>
            <w:r>
              <w:rPr>
                <w:rFonts w:hint="eastAsia" w:ascii="宋体" w:eastAsia="宋体" w:cs="宋体"/>
                <w:color w:val="000000"/>
                <w:sz w:val="18"/>
                <w:szCs w:val="18"/>
                <w:lang w:val="en-US" w:eastAsia="zh-CN"/>
              </w:rPr>
              <w:t>2011101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kern w:val="2"/>
                <w:sz w:val="18"/>
                <w:szCs w:val="18"/>
                <w:lang w:val="en-US" w:eastAsia="zh-CN" w:bidi="ar-SA"/>
              </w:rPr>
            </w:pPr>
            <w:r>
              <w:rPr>
                <w:rFonts w:hint="eastAsia" w:ascii="宋体" w:eastAsia="宋体" w:cs="宋体"/>
                <w:color w:val="000000"/>
                <w:sz w:val="18"/>
                <w:szCs w:val="18"/>
                <w:lang w:eastAsia="zh-CN"/>
              </w:rPr>
              <w:t>行政运行</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938.38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938.38</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8"/>
                <w:szCs w:val="18"/>
                <w:lang w:val="en-US" w:eastAsia="zh-CN" w:bidi="ar-SA"/>
              </w:rPr>
            </w:pPr>
            <w:r>
              <w:rPr>
                <w:rFonts w:hint="eastAsia" w:ascii="宋体" w:eastAsia="宋体" w:cs="宋体"/>
                <w:color w:val="000000"/>
                <w:sz w:val="18"/>
                <w:szCs w:val="18"/>
                <w:lang w:val="en-US" w:eastAsia="zh-CN"/>
              </w:rPr>
              <w:t>2011102</w:t>
            </w:r>
          </w:p>
        </w:tc>
        <w:tc>
          <w:tcPr>
            <w:tcW w:w="169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color w:val="000000"/>
                <w:kern w:val="2"/>
                <w:sz w:val="18"/>
                <w:szCs w:val="18"/>
                <w:lang w:val="en-US" w:eastAsia="zh-CN" w:bidi="ar-SA"/>
              </w:rPr>
            </w:pPr>
            <w:r>
              <w:rPr>
                <w:rFonts w:hint="eastAsia" w:ascii="宋体" w:eastAsia="宋体" w:cs="宋体"/>
                <w:color w:val="000000"/>
                <w:sz w:val="18"/>
                <w:szCs w:val="18"/>
                <w:lang w:eastAsia="zh-CN"/>
              </w:rPr>
              <w:t>一般行政管理事务</w:t>
            </w:r>
          </w:p>
        </w:tc>
        <w:tc>
          <w:tcPr>
            <w:tcW w:w="23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295.14</w:t>
            </w:r>
          </w:p>
        </w:tc>
        <w:tc>
          <w:tcPr>
            <w:tcW w:w="23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c>
          <w:tcPr>
            <w:tcW w:w="2329"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295.14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8"/>
                <w:szCs w:val="18"/>
                <w:lang w:val="en-US" w:eastAsia="zh-CN" w:bidi="ar-SA"/>
              </w:rPr>
            </w:pPr>
            <w:r>
              <w:rPr>
                <w:rFonts w:hint="eastAsia" w:ascii="宋体" w:eastAsia="宋体" w:cs="宋体"/>
                <w:color w:val="000000"/>
                <w:sz w:val="18"/>
                <w:szCs w:val="18"/>
                <w:lang w:val="en-US" w:eastAsia="zh-CN"/>
              </w:rPr>
              <w:t>208</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eastAsia="宋体" w:cs="宋体"/>
                <w:color w:val="000000"/>
                <w:kern w:val="2"/>
                <w:sz w:val="18"/>
                <w:szCs w:val="18"/>
                <w:lang w:val="en-US" w:eastAsia="zh-CN" w:bidi="ar-SA"/>
              </w:rPr>
            </w:pPr>
            <w:r>
              <w:rPr>
                <w:rFonts w:hint="eastAsia" w:ascii="宋体" w:eastAsia="宋体" w:cs="宋体"/>
                <w:color w:val="000000"/>
                <w:sz w:val="18"/>
                <w:szCs w:val="18"/>
                <w:lang w:eastAsia="zh-CN"/>
              </w:rPr>
              <w:t>社会保障和就业支出</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80.24</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80.24</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8"/>
                <w:szCs w:val="18"/>
                <w:lang w:val="en-US" w:eastAsia="zh-CN" w:bidi="ar-SA"/>
              </w:rPr>
            </w:pPr>
            <w:r>
              <w:rPr>
                <w:rFonts w:hint="eastAsia" w:ascii="宋体" w:eastAsia="宋体" w:cs="宋体"/>
                <w:color w:val="000000"/>
                <w:sz w:val="18"/>
                <w:szCs w:val="18"/>
                <w:lang w:val="en-US" w:eastAsia="zh-CN"/>
              </w:rPr>
              <w:t>20805</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1"/>
                <w:szCs w:val="11"/>
                <w:lang w:val="en-US" w:eastAsia="zh-CN" w:bidi="ar-SA"/>
              </w:rPr>
            </w:pPr>
            <w:r>
              <w:rPr>
                <w:rFonts w:hint="eastAsia" w:ascii="宋体" w:eastAsia="宋体" w:cs="宋体"/>
                <w:color w:val="000000"/>
                <w:sz w:val="16"/>
                <w:szCs w:val="18"/>
                <w:lang w:eastAsia="zh-CN"/>
              </w:rPr>
              <w:t>行政事业单位养老支出</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80.24</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80.24</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8"/>
                <w:szCs w:val="18"/>
                <w:lang w:val="en-US" w:eastAsia="zh-CN" w:bidi="ar-SA"/>
              </w:rPr>
            </w:pPr>
            <w:r>
              <w:rPr>
                <w:rFonts w:hint="eastAsia" w:ascii="宋体" w:eastAsia="宋体" w:cs="宋体"/>
                <w:color w:val="000000"/>
                <w:sz w:val="18"/>
                <w:szCs w:val="18"/>
                <w:lang w:val="en-US" w:eastAsia="zh-CN"/>
              </w:rPr>
              <w:t>2080505</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1"/>
                <w:szCs w:val="11"/>
                <w:lang w:val="en-US" w:eastAsia="zh-CN" w:bidi="ar-SA"/>
              </w:rPr>
            </w:pPr>
            <w:r>
              <w:rPr>
                <w:rFonts w:hint="eastAsia" w:ascii="宋体" w:eastAsia="宋体" w:cs="宋体"/>
                <w:color w:val="000000"/>
                <w:sz w:val="16"/>
                <w:szCs w:val="18"/>
                <w:lang w:eastAsia="zh-CN"/>
              </w:rPr>
              <w:t>机关事业单位基本养老保险缴费支出</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80.24</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80.24</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8"/>
                <w:szCs w:val="18"/>
                <w:lang w:val="en-US" w:eastAsia="zh-CN" w:bidi="ar-SA"/>
              </w:rPr>
            </w:pPr>
            <w:r>
              <w:rPr>
                <w:rFonts w:hint="eastAsia" w:ascii="宋体" w:eastAsia="宋体" w:cs="宋体"/>
                <w:color w:val="000000"/>
                <w:sz w:val="18"/>
                <w:szCs w:val="18"/>
                <w:lang w:val="en-US" w:eastAsia="zh-CN"/>
              </w:rPr>
              <w:t>210</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eastAsia="宋体" w:cs="宋体"/>
                <w:color w:val="000000"/>
                <w:kern w:val="2"/>
                <w:sz w:val="18"/>
                <w:szCs w:val="18"/>
                <w:lang w:val="en-US" w:eastAsia="zh-CN" w:bidi="ar-SA"/>
              </w:rPr>
            </w:pPr>
            <w:r>
              <w:rPr>
                <w:rFonts w:hint="eastAsia" w:ascii="宋体" w:eastAsia="宋体" w:cs="宋体"/>
                <w:color w:val="000000"/>
                <w:sz w:val="18"/>
                <w:szCs w:val="18"/>
                <w:lang w:eastAsia="zh-CN"/>
              </w:rPr>
              <w:t>卫生健康支出</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74.00</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74.00</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8"/>
                <w:szCs w:val="18"/>
                <w:lang w:val="en-US" w:eastAsia="zh-CN" w:bidi="ar-SA"/>
              </w:rPr>
            </w:pPr>
            <w:r>
              <w:rPr>
                <w:rFonts w:hint="eastAsia" w:ascii="宋体" w:eastAsia="宋体" w:cs="宋体"/>
                <w:color w:val="000000"/>
                <w:sz w:val="18"/>
                <w:szCs w:val="18"/>
                <w:lang w:val="en-US" w:eastAsia="zh-CN"/>
              </w:rPr>
              <w:t>21011</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eastAsia="宋体" w:cs="宋体"/>
                <w:color w:val="000000"/>
                <w:kern w:val="2"/>
                <w:sz w:val="18"/>
                <w:szCs w:val="18"/>
                <w:lang w:val="en-US" w:eastAsia="zh-CN" w:bidi="ar-SA"/>
              </w:rPr>
            </w:pPr>
            <w:r>
              <w:rPr>
                <w:rFonts w:hint="eastAsia" w:ascii="宋体" w:eastAsia="宋体" w:cs="宋体"/>
                <w:color w:val="000000"/>
                <w:sz w:val="18"/>
                <w:szCs w:val="18"/>
                <w:lang w:eastAsia="zh-CN"/>
              </w:rPr>
              <w:t>行政事业单位医疗</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74.00</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74.00</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8"/>
                <w:szCs w:val="18"/>
                <w:lang w:val="en-US" w:eastAsia="zh-CN" w:bidi="ar-SA"/>
              </w:rPr>
            </w:pPr>
            <w:r>
              <w:rPr>
                <w:rFonts w:hint="eastAsia" w:ascii="宋体" w:eastAsia="宋体" w:cs="宋体"/>
                <w:color w:val="000000"/>
                <w:sz w:val="18"/>
                <w:szCs w:val="18"/>
                <w:lang w:val="en-US" w:eastAsia="zh-CN"/>
              </w:rPr>
              <w:t>2101101</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eastAsia="宋体" w:cs="宋体"/>
                <w:color w:val="000000"/>
                <w:kern w:val="2"/>
                <w:sz w:val="18"/>
                <w:szCs w:val="18"/>
                <w:lang w:val="en-US" w:eastAsia="zh-CN" w:bidi="ar-SA"/>
              </w:rPr>
            </w:pPr>
            <w:r>
              <w:rPr>
                <w:rFonts w:hint="eastAsia" w:ascii="宋体" w:eastAsia="宋体" w:cs="宋体"/>
                <w:color w:val="000000"/>
                <w:sz w:val="18"/>
                <w:szCs w:val="18"/>
                <w:lang w:eastAsia="zh-CN"/>
              </w:rPr>
              <w:t>行政单位医疗</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65.25</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65.25</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8"/>
                <w:szCs w:val="18"/>
                <w:lang w:val="en-US" w:eastAsia="zh-CN" w:bidi="ar-SA"/>
              </w:rPr>
            </w:pPr>
            <w:r>
              <w:rPr>
                <w:rFonts w:hint="eastAsia" w:ascii="宋体" w:eastAsia="宋体" w:cs="宋体"/>
                <w:color w:val="000000"/>
                <w:sz w:val="18"/>
                <w:szCs w:val="18"/>
                <w:lang w:val="en-US" w:eastAsia="zh-CN"/>
              </w:rPr>
              <w:t>2101102</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eastAsia="宋体" w:cs="宋体"/>
                <w:color w:val="000000"/>
                <w:kern w:val="2"/>
                <w:sz w:val="18"/>
                <w:szCs w:val="18"/>
                <w:lang w:val="en-US" w:eastAsia="zh-CN" w:bidi="ar-SA"/>
              </w:rPr>
            </w:pPr>
            <w:r>
              <w:rPr>
                <w:rFonts w:hint="eastAsia" w:ascii="宋体" w:eastAsia="宋体" w:cs="宋体"/>
                <w:color w:val="000000"/>
                <w:sz w:val="18"/>
                <w:szCs w:val="18"/>
                <w:lang w:eastAsia="zh-CN"/>
              </w:rPr>
              <w:t>事业单位医疗</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8.75</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8.75</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8"/>
                <w:szCs w:val="18"/>
                <w:lang w:val="en-US" w:eastAsia="zh-CN" w:bidi="ar-SA"/>
              </w:rPr>
            </w:pPr>
            <w:r>
              <w:rPr>
                <w:rFonts w:hint="eastAsia" w:ascii="宋体" w:eastAsia="宋体" w:cs="宋体"/>
                <w:color w:val="000000"/>
                <w:sz w:val="18"/>
                <w:szCs w:val="18"/>
                <w:lang w:val="en-US" w:eastAsia="zh-CN"/>
              </w:rPr>
              <w:t>221</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eastAsia="宋体" w:cs="宋体"/>
                <w:color w:val="000000"/>
                <w:kern w:val="2"/>
                <w:sz w:val="18"/>
                <w:szCs w:val="18"/>
                <w:lang w:val="en-US" w:eastAsia="zh-CN" w:bidi="ar-SA"/>
              </w:rPr>
            </w:pPr>
            <w:r>
              <w:rPr>
                <w:rFonts w:hint="eastAsia" w:ascii="宋体" w:eastAsia="宋体" w:cs="宋体"/>
                <w:color w:val="000000"/>
                <w:sz w:val="18"/>
                <w:szCs w:val="18"/>
                <w:lang w:eastAsia="zh-CN"/>
              </w:rPr>
              <w:t>住房保障支出</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60.23</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60.23</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8"/>
                <w:szCs w:val="18"/>
                <w:lang w:val="en-US" w:eastAsia="zh-CN" w:bidi="ar-SA"/>
              </w:rPr>
            </w:pPr>
            <w:r>
              <w:rPr>
                <w:rFonts w:hint="eastAsia" w:ascii="宋体" w:eastAsia="宋体" w:cs="宋体"/>
                <w:color w:val="000000"/>
                <w:sz w:val="18"/>
                <w:szCs w:val="18"/>
                <w:lang w:val="en-US" w:eastAsia="zh-CN"/>
              </w:rPr>
              <w:t>22102</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eastAsia="宋体" w:cs="宋体"/>
                <w:color w:val="000000"/>
                <w:kern w:val="2"/>
                <w:sz w:val="18"/>
                <w:szCs w:val="18"/>
                <w:lang w:val="en-US" w:eastAsia="zh-CN" w:bidi="ar-SA"/>
              </w:rPr>
            </w:pPr>
            <w:r>
              <w:rPr>
                <w:rFonts w:hint="eastAsia" w:ascii="宋体" w:eastAsia="宋体" w:cs="宋体"/>
                <w:color w:val="000000"/>
                <w:sz w:val="18"/>
                <w:szCs w:val="18"/>
                <w:lang w:eastAsia="zh-CN"/>
              </w:rPr>
              <w:t>住房改革支出</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60.23</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60.23</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kern w:val="2"/>
                <w:sz w:val="18"/>
                <w:szCs w:val="18"/>
                <w:lang w:val="en-US" w:eastAsia="zh-CN" w:bidi="ar-SA"/>
              </w:rPr>
            </w:pPr>
            <w:r>
              <w:rPr>
                <w:rFonts w:hint="eastAsia" w:ascii="宋体" w:eastAsia="宋体" w:cs="宋体"/>
                <w:color w:val="000000"/>
                <w:sz w:val="18"/>
                <w:szCs w:val="18"/>
                <w:lang w:val="en-US" w:eastAsia="zh-CN"/>
              </w:rPr>
              <w:t>2210201</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eastAsia="宋体" w:cs="宋体"/>
                <w:color w:val="000000"/>
                <w:kern w:val="2"/>
                <w:sz w:val="18"/>
                <w:szCs w:val="18"/>
                <w:lang w:val="en-US" w:eastAsia="zh-CN" w:bidi="ar-SA"/>
              </w:rPr>
            </w:pPr>
            <w:r>
              <w:rPr>
                <w:rFonts w:hint="eastAsia" w:ascii="宋体" w:eastAsia="宋体" w:cs="宋体"/>
                <w:color w:val="000000"/>
                <w:sz w:val="18"/>
                <w:szCs w:val="18"/>
                <w:lang w:eastAsia="zh-CN"/>
              </w:rPr>
              <w:t>住房公积金</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60.23</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18"/>
                <w:szCs w:val="18"/>
                <w:lang w:val="en-US" w:eastAsia="zh-CN"/>
              </w:rPr>
            </w:pPr>
            <w:r>
              <w:rPr>
                <w:rFonts w:hint="eastAsia" w:ascii="宋体" w:eastAsia="宋体" w:cs="宋体"/>
                <w:color w:val="000000"/>
                <w:sz w:val="18"/>
                <w:szCs w:val="18"/>
                <w:lang w:val="en-US" w:eastAsia="zh-CN"/>
              </w:rPr>
              <w:t>60.23</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eastAsia="宋体" w:cs="宋体"/>
                <w:color w:val="000000"/>
                <w:sz w:val="18"/>
                <w:szCs w:val="18"/>
              </w:rPr>
            </w:pPr>
          </w:p>
        </w:tc>
      </w:tr>
    </w:tbl>
    <w:p>
      <w:pPr>
        <w:rPr>
          <w:rFonts w:hint="eastAsia" w:ascii="黑体" w:eastAsia="黑体" w:cs="黑体"/>
          <w:color w:val="000000"/>
          <w:kern w:val="0"/>
          <w:sz w:val="22"/>
          <w:szCs w:val="22"/>
          <w:lang w:eastAsia="zh-CN"/>
        </w:rPr>
        <w:sectPr>
          <w:pgSz w:w="11906" w:h="16838"/>
          <w:pgMar w:top="2098" w:right="1531" w:bottom="1984" w:left="1531" w:header="851" w:footer="992" w:gutter="0"/>
          <w:cols w:space="720" w:num="1"/>
          <w:docGrid w:type="lines" w:linePitch="312" w:charSpace="0"/>
        </w:sectPr>
      </w:pPr>
      <w:r>
        <w:rPr>
          <w:rFonts w:hint="eastAsia" w:ascii="黑体" w:eastAsia="黑体" w:cs="黑体"/>
          <w:color w:val="000000"/>
          <w:kern w:val="0"/>
          <w:sz w:val="22"/>
          <w:szCs w:val="22"/>
        </w:rPr>
        <w:t>注：本表反映部门本年度一般公共预算财政拨款支出情况</w:t>
      </w:r>
      <w:r>
        <w:rPr>
          <w:rFonts w:hint="eastAsia" w:ascii="黑体" w:eastAsia="黑体" w:cs="黑体"/>
          <w:color w:val="000000"/>
          <w:kern w:val="0"/>
          <w:sz w:val="22"/>
          <w:szCs w:val="22"/>
          <w:lang w:eastAsia="zh-CN"/>
        </w:rPr>
        <w:t>。</w:t>
      </w:r>
    </w:p>
    <w:tbl>
      <w:tblPr>
        <w:tblStyle w:val="7"/>
        <w:tblW w:w="140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51"/>
        <w:gridCol w:w="2477"/>
        <w:gridCol w:w="1317"/>
        <w:gridCol w:w="913"/>
        <w:gridCol w:w="2463"/>
        <w:gridCol w:w="966"/>
        <w:gridCol w:w="861"/>
        <w:gridCol w:w="3028"/>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14076"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line="420" w:lineRule="exact"/>
              <w:jc w:val="center"/>
              <w:textAlignment w:val="center"/>
              <w:rPr>
                <w:rFonts w:ascii="黑体" w:eastAsia="黑体" w:cs="黑体"/>
                <w:color w:val="000000"/>
                <w:sz w:val="32"/>
                <w:szCs w:val="32"/>
              </w:rPr>
            </w:pPr>
            <w:r>
              <w:rPr>
                <w:rFonts w:hint="eastAsia" w:ascii="黑体" w:eastAsia="黑体" w:cs="黑体"/>
                <w:color w:val="000000"/>
                <w:kern w:val="0"/>
                <w:sz w:val="28"/>
                <w:szCs w:val="28"/>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 w:hRule="atLeast"/>
          <w:jc w:val="center"/>
        </w:trPr>
        <w:tc>
          <w:tcPr>
            <w:tcW w:w="125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eastAsia="宋体" w:cs="宋体"/>
                <w:color w:val="000000"/>
                <w:sz w:val="16"/>
                <w:szCs w:val="16"/>
              </w:rPr>
            </w:pPr>
            <w:r>
              <w:rPr>
                <w:rFonts w:hint="eastAsia" w:ascii="宋体" w:eastAsia="宋体" w:cs="宋体"/>
                <w:color w:val="000000"/>
                <w:kern w:val="0"/>
                <w:sz w:val="16"/>
                <w:szCs w:val="16"/>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 w:hRule="atLeast"/>
          <w:jc w:val="center"/>
        </w:trPr>
        <w:tc>
          <w:tcPr>
            <w:tcW w:w="1251"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eastAsia="宋体" w:cs="宋体"/>
                <w:color w:val="000000"/>
                <w:sz w:val="16"/>
                <w:szCs w:val="16"/>
              </w:rPr>
            </w:pPr>
            <w:r>
              <w:rPr>
                <w:rFonts w:hint="eastAsia" w:ascii="宋体" w:eastAsia="宋体" w:cs="宋体"/>
                <w:color w:val="000000"/>
                <w:kern w:val="0"/>
                <w:sz w:val="16"/>
                <w:szCs w:val="16"/>
              </w:rPr>
              <w:t>部门：</w:t>
            </w:r>
          </w:p>
        </w:tc>
        <w:tc>
          <w:tcPr>
            <w:tcW w:w="247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eastAsia="宋体" w:cs="宋体"/>
                <w:color w:val="000000"/>
                <w:sz w:val="16"/>
                <w:szCs w:val="16"/>
              </w:rPr>
            </w:pPr>
            <w:r>
              <w:rPr>
                <w:rFonts w:hint="eastAsia" w:ascii="宋体" w:eastAsia="宋体" w:cs="宋体"/>
                <w:color w:val="000000"/>
                <w:kern w:val="0"/>
                <w:sz w:val="16"/>
                <w:szCs w:val="16"/>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16"/>
                <w:szCs w:val="16"/>
              </w:rPr>
            </w:pPr>
            <w:r>
              <w:rPr>
                <w:rFonts w:hint="eastAsia" w:ascii="黑体" w:eastAsia="黑体" w:cs="宋体"/>
                <w:color w:val="000000"/>
                <w:kern w:val="0"/>
                <w:sz w:val="16"/>
                <w:szCs w:val="16"/>
              </w:rPr>
              <w:t>人员经费</w:t>
            </w:r>
          </w:p>
        </w:tc>
        <w:tc>
          <w:tcPr>
            <w:tcW w:w="903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16"/>
                <w:szCs w:val="16"/>
              </w:rPr>
            </w:pPr>
            <w:r>
              <w:rPr>
                <w:rFonts w:hint="eastAsia" w:ascii="黑体" w:eastAsia="黑体" w:cs="宋体"/>
                <w:color w:val="000000"/>
                <w:kern w:val="0"/>
                <w:sz w:val="16"/>
                <w:szCs w:val="16"/>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125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黑体" w:eastAsia="黑体" w:cs="宋体"/>
                <w:color w:val="000000"/>
                <w:sz w:val="16"/>
                <w:szCs w:val="16"/>
              </w:rPr>
            </w:pPr>
            <w:r>
              <w:rPr>
                <w:rFonts w:hint="eastAsia" w:ascii="黑体" w:eastAsia="黑体" w:cs="宋体"/>
                <w:color w:val="000000"/>
                <w:kern w:val="0"/>
                <w:sz w:val="16"/>
                <w:szCs w:val="16"/>
              </w:rPr>
              <w:t>科目编码</w:t>
            </w:r>
          </w:p>
        </w:tc>
        <w:tc>
          <w:tcPr>
            <w:tcW w:w="2477"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黑体" w:eastAsia="黑体" w:cs="宋体"/>
                <w:color w:val="000000"/>
                <w:sz w:val="16"/>
                <w:szCs w:val="16"/>
              </w:rPr>
            </w:pPr>
            <w:r>
              <w:rPr>
                <w:rFonts w:hint="eastAsia" w:ascii="黑体" w:eastAsia="黑体" w:cs="宋体"/>
                <w:color w:val="000000"/>
                <w:kern w:val="0"/>
                <w:sz w:val="16"/>
                <w:szCs w:val="16"/>
              </w:rPr>
              <w:t>科目名称</w:t>
            </w:r>
          </w:p>
        </w:tc>
        <w:tc>
          <w:tcPr>
            <w:tcW w:w="1317"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黑体" w:eastAsia="黑体" w:cs="宋体"/>
                <w:color w:val="000000"/>
                <w:sz w:val="16"/>
                <w:szCs w:val="16"/>
              </w:rPr>
            </w:pPr>
            <w:r>
              <w:rPr>
                <w:rFonts w:hint="eastAsia" w:ascii="黑体" w:eastAsia="黑体" w:cs="宋体"/>
                <w:color w:val="000000"/>
                <w:kern w:val="0"/>
                <w:sz w:val="16"/>
                <w:szCs w:val="16"/>
              </w:rPr>
              <w:t>决算数</w:t>
            </w:r>
          </w:p>
        </w:tc>
        <w:tc>
          <w:tcPr>
            <w:tcW w:w="91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黑体" w:eastAsia="黑体" w:cs="宋体"/>
                <w:color w:val="000000"/>
                <w:sz w:val="16"/>
                <w:szCs w:val="16"/>
              </w:rPr>
            </w:pPr>
            <w:r>
              <w:rPr>
                <w:rFonts w:hint="eastAsia" w:ascii="黑体" w:eastAsia="黑体" w:cs="宋体"/>
                <w:color w:val="000000"/>
                <w:kern w:val="0"/>
                <w:sz w:val="16"/>
                <w:szCs w:val="16"/>
              </w:rPr>
              <w:t>科目编码</w:t>
            </w:r>
          </w:p>
        </w:tc>
        <w:tc>
          <w:tcPr>
            <w:tcW w:w="246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黑体" w:eastAsia="黑体" w:cs="宋体"/>
                <w:color w:val="000000"/>
                <w:sz w:val="16"/>
                <w:szCs w:val="16"/>
              </w:rPr>
            </w:pPr>
            <w:r>
              <w:rPr>
                <w:rFonts w:hint="eastAsia" w:ascii="黑体" w:eastAsia="黑体" w:cs="宋体"/>
                <w:color w:val="000000"/>
                <w:kern w:val="0"/>
                <w:sz w:val="16"/>
                <w:szCs w:val="16"/>
              </w:rPr>
              <w:t>科目名称</w:t>
            </w:r>
          </w:p>
        </w:tc>
        <w:tc>
          <w:tcPr>
            <w:tcW w:w="96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黑体" w:eastAsia="黑体" w:cs="宋体"/>
                <w:color w:val="000000"/>
                <w:sz w:val="16"/>
                <w:szCs w:val="16"/>
              </w:rPr>
            </w:pPr>
            <w:r>
              <w:rPr>
                <w:rFonts w:hint="eastAsia" w:ascii="黑体" w:eastAsia="黑体" w:cs="宋体"/>
                <w:color w:val="000000"/>
                <w:kern w:val="0"/>
                <w:sz w:val="16"/>
                <w:szCs w:val="16"/>
              </w:rPr>
              <w:t>决算数</w:t>
            </w:r>
          </w:p>
        </w:tc>
        <w:tc>
          <w:tcPr>
            <w:tcW w:w="861"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黑体" w:eastAsia="黑体" w:cs="宋体"/>
                <w:color w:val="000000"/>
                <w:sz w:val="16"/>
                <w:szCs w:val="16"/>
              </w:rPr>
            </w:pPr>
            <w:r>
              <w:rPr>
                <w:rFonts w:hint="eastAsia" w:ascii="黑体" w:eastAsia="黑体" w:cs="宋体"/>
                <w:color w:val="000000"/>
                <w:kern w:val="0"/>
                <w:sz w:val="16"/>
                <w:szCs w:val="16"/>
              </w:rPr>
              <w:t>科目编码</w:t>
            </w:r>
          </w:p>
        </w:tc>
        <w:tc>
          <w:tcPr>
            <w:tcW w:w="3028"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黑体" w:eastAsia="黑体" w:cs="宋体"/>
                <w:color w:val="000000"/>
                <w:sz w:val="16"/>
                <w:szCs w:val="16"/>
              </w:rPr>
            </w:pPr>
            <w:r>
              <w:rPr>
                <w:rFonts w:hint="eastAsia" w:ascii="黑体" w:eastAsia="黑体" w:cs="宋体"/>
                <w:color w:val="000000"/>
                <w:kern w:val="0"/>
                <w:sz w:val="16"/>
                <w:szCs w:val="16"/>
              </w:rPr>
              <w:t>科目名称</w:t>
            </w:r>
          </w:p>
        </w:tc>
        <w:tc>
          <w:tcPr>
            <w:tcW w:w="80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黑体" w:eastAsia="黑体" w:cs="宋体"/>
                <w:color w:val="000000"/>
                <w:sz w:val="16"/>
                <w:szCs w:val="16"/>
              </w:rPr>
            </w:pPr>
            <w:r>
              <w:rPr>
                <w:rFonts w:hint="eastAsia" w:ascii="黑体" w:eastAsia="黑体" w:cs="宋体"/>
                <w:color w:val="000000"/>
                <w:kern w:val="0"/>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25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2477"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317"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91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246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96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86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302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80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301</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工资福利支出</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993.70</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商品和服务支出</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153.42</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307</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债务利息及费用支出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30101</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基本工资</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381.35</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30201</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办公费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10.54</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30701</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国内债务付息</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30102</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津贴补贴</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170.63</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30202</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印刷费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6.11</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30702</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国外债务付息</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30103</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奖金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14.20</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30203</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咨询费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资本性支出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30106</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伙食补助费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30204</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手续费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31001</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房屋建筑物购建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30107</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绩效工资</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27.50</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30205</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水费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31002</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办公设备购置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30108</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80.24</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30206</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电费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1.06</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31003</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专用设备购置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30109</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职业年金缴费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30207</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邮电费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27.54</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31005</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基础设施建设</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30110</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职工基本医疗保险缴费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42.24</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30208</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取暖费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7.17</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31006</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大型修缮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30111</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公务员医疗补助缴费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31.76</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30209</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物业管理费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31007</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信息网络及软件购置更新</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30112</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其他社会保障缴费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2.46</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30211</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差旅费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1.26</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31008</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物资储备</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30113</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住房公积金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60.23</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30212</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因公出国（境）费用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31009</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土地补偿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30114</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医疗费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30213</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维修（护）费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31010</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安置补助</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30199</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其他工资福利支出</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184.89</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30214</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租赁费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31011</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地上附着物和青苗补偿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303</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对个人和家庭的补助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5.74</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30215</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会议费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2.54</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31012</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拆迁补偿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30301</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离休费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30216</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培训费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0.39</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31013</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公务用车购置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30302</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退休费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5.74</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公务接待费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31019</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其他交通工具购置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30303</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退职（役）费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30218</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专用材料费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31021</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文物和陈列品购置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30304</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抚恤金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30224</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被装购置费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31022</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无形资产购置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30305</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生活补助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30225</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专用燃料费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31099</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其他资本性支出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30306</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救济费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30226</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劳务费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29.66</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399</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其他支出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30307</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医疗费补助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30227</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委托业务费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4.29</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39906</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赠与</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30308</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助学金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30228</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工会经费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4.00</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39907</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国家赔偿费用支出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30309</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奖励金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30229</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福利费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5.21</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39908</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w:t>
            </w:r>
            <w:r>
              <w:rPr>
                <w:rFonts w:hint="eastAsia" w:ascii="宋体" w:eastAsia="宋体" w:cs="宋体"/>
                <w:color w:val="000000"/>
                <w:kern w:val="0"/>
                <w:sz w:val="15"/>
                <w:szCs w:val="15"/>
              </w:rPr>
              <w:t>对民间非营利组织和群众性自治组织补贴</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30310</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个人农业生产补贴</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30231</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公务用车运行维护费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19.24</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39999</w:t>
            </w: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其他支出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30399</w:t>
            </w: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其他对个人和家庭的补助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30239</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其他交通费用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33.34</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30240</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税金及附加费用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30299</w:t>
            </w:r>
          </w:p>
        </w:tc>
        <w:tc>
          <w:tcPr>
            <w:tcW w:w="2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其他商品和服务支出</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1.16</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jc w:val="center"/>
        </w:trPr>
        <w:tc>
          <w:tcPr>
            <w:tcW w:w="37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hint="eastAsia" w:ascii="宋体" w:eastAsia="宋体" w:cs="宋体"/>
                <w:color w:val="000000"/>
                <w:kern w:val="0"/>
                <w:sz w:val="16"/>
                <w:szCs w:val="16"/>
              </w:rPr>
              <w:t>人员经费合计</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999.43</w:t>
            </w:r>
          </w:p>
        </w:tc>
        <w:tc>
          <w:tcPr>
            <w:tcW w:w="8231"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16"/>
                <w:szCs w:val="16"/>
              </w:rPr>
            </w:pPr>
            <w:r>
              <w:rPr>
                <w:rFonts w:hint="eastAsia" w:ascii="宋体" w:eastAsia="宋体" w:cs="宋体"/>
                <w:color w:val="000000"/>
                <w:kern w:val="0"/>
                <w:sz w:val="16"/>
                <w:szCs w:val="16"/>
              </w:rPr>
              <w:t>公用经费合计</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16"/>
                <w:szCs w:val="16"/>
                <w:lang w:val="en-US" w:eastAsia="zh-CN"/>
              </w:rPr>
            </w:pPr>
            <w:r>
              <w:rPr>
                <w:rFonts w:hint="eastAsia" w:ascii="宋体" w:eastAsia="宋体" w:cs="宋体"/>
                <w:color w:val="000000"/>
                <w:sz w:val="16"/>
                <w:szCs w:val="16"/>
                <w:lang w:val="en-US" w:eastAsia="zh-CN"/>
              </w:rPr>
              <w:t>153.42</w:t>
            </w:r>
          </w:p>
        </w:tc>
      </w:tr>
    </w:tbl>
    <w:p>
      <w:pPr>
        <w:widowControl/>
        <w:jc w:val="center"/>
        <w:textAlignment w:val="center"/>
        <w:sectPr>
          <w:pgSz w:w="16838" w:h="11906" w:orient="landscape"/>
          <w:pgMar w:top="1531" w:right="2098" w:bottom="1531" w:left="1984" w:header="851" w:footer="992" w:gutter="0"/>
          <w:cols w:space="720" w:num="1"/>
          <w:docGrid w:type="lines" w:linePitch="312" w:charSpace="0"/>
        </w:sectPr>
      </w:pPr>
    </w:p>
    <w:tbl>
      <w:tblPr>
        <w:tblStyle w:val="7"/>
        <w:tblW w:w="9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7"/>
        <w:gridCol w:w="1686"/>
        <w:gridCol w:w="1565"/>
        <w:gridCol w:w="1565"/>
        <w:gridCol w:w="1565"/>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28"/>
                <w:szCs w:val="28"/>
              </w:rPr>
            </w:pPr>
            <w:r>
              <w:rPr>
                <w:sz w:val="28"/>
                <w:szCs w:val="28"/>
              </w:rPr>
              <w:br w:type="page"/>
            </w:r>
            <w:r>
              <w:rPr>
                <w:rFonts w:hint="eastAsia" w:ascii="黑体" w:eastAsia="黑体" w:cs="黑体"/>
                <w:color w:val="000000"/>
                <w:kern w:val="0"/>
                <w:sz w:val="28"/>
                <w:szCs w:val="28"/>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eastAsia="宋体" w:cs="宋体"/>
                <w:color w:val="000000"/>
                <w:sz w:val="18"/>
                <w:szCs w:val="18"/>
              </w:rPr>
            </w:pPr>
            <w:r>
              <w:rPr>
                <w:rFonts w:hint="eastAsia" w:ascii="宋体" w:eastAsia="宋体" w:cs="宋体"/>
                <w:color w:val="000000"/>
                <w:kern w:val="0"/>
                <w:sz w:val="18"/>
                <w:szCs w:val="18"/>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Cs w:val="22"/>
              </w:rPr>
            </w:pPr>
            <w:r>
              <w:rPr>
                <w:rFonts w:hint="eastAsia" w:ascii="黑体" w:eastAsia="黑体" w:cs="宋体"/>
                <w:color w:val="000000"/>
                <w:kern w:val="0"/>
                <w:sz w:val="20"/>
                <w:szCs w:val="21"/>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68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小计</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公务用车购置费</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公务用车运行费</w:t>
            </w:r>
          </w:p>
        </w:tc>
        <w:tc>
          <w:tcPr>
            <w:tcW w:w="1572" w:type="dxa"/>
            <w:vMerge w:val="continue"/>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1</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2</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3</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4</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5</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lang w:val="en-US" w:eastAsia="zh-CN"/>
              </w:rPr>
            </w:pPr>
            <w:r>
              <w:rPr>
                <w:rFonts w:hint="eastAsia" w:ascii="宋体" w:eastAsia="宋体" w:cs="宋体"/>
                <w:color w:val="000000"/>
                <w:szCs w:val="22"/>
                <w:lang w:val="en-US" w:eastAsia="zh-CN"/>
              </w:rPr>
              <w:t>46.00</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lang w:val="en-US" w:eastAsia="zh-CN"/>
              </w:rPr>
            </w:pPr>
            <w:r>
              <w:rPr>
                <w:rFonts w:hint="eastAsia" w:ascii="宋体" w:eastAsia="宋体" w:cs="宋体"/>
                <w:color w:val="000000"/>
                <w:szCs w:val="22"/>
                <w:lang w:val="en-US" w:eastAsia="zh-CN"/>
              </w:rPr>
              <w:t>46.00</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lang w:val="en-US" w:eastAsia="zh-CN"/>
              </w:rPr>
            </w:pPr>
            <w:r>
              <w:rPr>
                <w:rFonts w:hint="eastAsia" w:ascii="宋体" w:eastAsia="宋体" w:cs="宋体"/>
                <w:color w:val="000000"/>
                <w:szCs w:val="22"/>
                <w:lang w:val="en-US" w:eastAsia="zh-CN"/>
              </w:rPr>
              <w:t>46.00</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68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Cs w:val="22"/>
              </w:rPr>
            </w:pPr>
            <w:r>
              <w:rPr>
                <w:rFonts w:hint="eastAsia" w:ascii="黑体" w:eastAsia="黑体" w:cs="宋体"/>
                <w:color w:val="000000"/>
                <w:kern w:val="0"/>
                <w:szCs w:val="22"/>
              </w:rPr>
              <w:t>小计</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Cs w:val="22"/>
              </w:rPr>
            </w:pPr>
            <w:r>
              <w:rPr>
                <w:rFonts w:hint="eastAsia" w:ascii="黑体" w:eastAsia="黑体" w:cs="宋体"/>
                <w:color w:val="000000"/>
                <w:kern w:val="0"/>
                <w:szCs w:val="22"/>
              </w:rPr>
              <w:t>公务用车购置费</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Cs w:val="22"/>
              </w:rPr>
            </w:pPr>
            <w:r>
              <w:rPr>
                <w:rFonts w:hint="eastAsia" w:ascii="黑体" w:eastAsia="黑体" w:cs="宋体"/>
                <w:color w:val="000000"/>
                <w:kern w:val="0"/>
                <w:szCs w:val="22"/>
              </w:rPr>
              <w:t>公务用车运行费</w:t>
            </w:r>
          </w:p>
        </w:tc>
        <w:tc>
          <w:tcPr>
            <w:tcW w:w="1572" w:type="dxa"/>
            <w:vMerge w:val="continue"/>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7</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8</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9</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10</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11</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lang w:val="en-US" w:eastAsia="zh-CN"/>
              </w:rPr>
            </w:pPr>
            <w:r>
              <w:rPr>
                <w:rFonts w:hint="eastAsia" w:ascii="宋体" w:eastAsia="宋体" w:cs="宋体"/>
                <w:color w:val="000000"/>
                <w:szCs w:val="22"/>
                <w:lang w:val="en-US" w:eastAsia="zh-CN"/>
              </w:rPr>
              <w:t>29.88</w:t>
            </w: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lang w:val="en-US" w:eastAsia="zh-CN"/>
              </w:rPr>
            </w:pPr>
            <w:r>
              <w:rPr>
                <w:rFonts w:hint="eastAsia" w:ascii="宋体" w:eastAsia="宋体" w:cs="宋体"/>
                <w:color w:val="000000"/>
                <w:szCs w:val="22"/>
                <w:lang w:val="en-US" w:eastAsia="zh-CN"/>
              </w:rPr>
              <w:t>29.88</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lang w:val="en-US" w:eastAsia="zh-CN"/>
              </w:rPr>
            </w:pPr>
            <w:r>
              <w:rPr>
                <w:rFonts w:hint="eastAsia" w:ascii="宋体" w:eastAsia="宋体" w:cs="宋体"/>
                <w:color w:val="000000"/>
                <w:szCs w:val="22"/>
                <w:lang w:val="en-US" w:eastAsia="zh-CN"/>
              </w:rPr>
              <w:t>29.88</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r>
    </w:tbl>
    <w:p>
      <w:r>
        <w:rPr>
          <w:rFonts w:hint="eastAsia" w:ascii="宋体" w:eastAsia="宋体" w:cs="宋体"/>
          <w:sz w:val="20"/>
          <w:szCs w:val="22"/>
        </w:rPr>
        <w:t>注：本表反映部门本年度“三公”经费支出预决算情况。其中：预算数为“三公”经费</w:t>
      </w:r>
      <w:r>
        <w:rPr>
          <w:rFonts w:hint="eastAsia" w:ascii="宋体" w:eastAsia="宋体" w:cs="宋体"/>
          <w:b/>
          <w:sz w:val="20"/>
          <w:szCs w:val="22"/>
        </w:rPr>
        <w:t>全年预算数</w:t>
      </w:r>
      <w:r>
        <w:rPr>
          <w:rFonts w:hint="eastAsia" w:ascii="宋体" w:eastAsia="宋体" w:cs="宋体"/>
          <w:sz w:val="20"/>
          <w:szCs w:val="22"/>
        </w:rPr>
        <w:t>，反映按规定程序调整后的预算数；决算数是包括当年一般公共预算财政拨款和以前年度结转资金安排的实际支出。</w:t>
      </w:r>
      <w:r>
        <w:rPr>
          <w:rFonts w:hint="eastAsia" w:ascii="仿宋_GB2312" w:eastAsia="仿宋_GB2312" w:cs="仿宋_GB2312"/>
          <w:sz w:val="20"/>
          <w:szCs w:val="22"/>
        </w:rPr>
        <w:tab/>
      </w:r>
      <w:r>
        <w:rPr>
          <w:sz w:val="20"/>
          <w:szCs w:val="22"/>
        </w:rPr>
        <w:tab/>
      </w:r>
      <w:r>
        <w:tab/>
      </w:r>
      <w:r>
        <w:tab/>
      </w:r>
      <w:r>
        <w:tab/>
      </w:r>
      <w:r>
        <w:tab/>
      </w:r>
      <w:r>
        <w:tab/>
      </w:r>
      <w:r>
        <w:tab/>
      </w:r>
      <w:r>
        <w:tab/>
      </w:r>
      <w:r>
        <w:tab/>
      </w:r>
      <w:r>
        <w:tab/>
      </w:r>
      <w:r>
        <w:br w:type="page"/>
      </w:r>
    </w:p>
    <w:tbl>
      <w:tblPr>
        <w:tblStyle w:val="7"/>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00"/>
        <w:gridCol w:w="68"/>
        <w:gridCol w:w="68"/>
        <w:gridCol w:w="230"/>
        <w:gridCol w:w="1150"/>
        <w:gridCol w:w="1150"/>
        <w:gridCol w:w="1150"/>
        <w:gridCol w:w="1150"/>
        <w:gridCol w:w="1150"/>
        <w:gridCol w:w="2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28"/>
                <w:szCs w:val="28"/>
              </w:rPr>
            </w:pPr>
            <w:r>
              <w:rPr>
                <w:rFonts w:hint="eastAsia" w:ascii="黑体" w:eastAsia="黑体" w:cs="黑体"/>
                <w:color w:val="000000"/>
                <w:kern w:val="0"/>
                <w:sz w:val="28"/>
                <w:szCs w:val="28"/>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00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68"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68"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39"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3735"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000"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eastAsia="宋体" w:cs="宋体"/>
                <w:color w:val="000000"/>
                <w:sz w:val="18"/>
                <w:szCs w:val="18"/>
              </w:rPr>
            </w:pPr>
            <w:r>
              <w:rPr>
                <w:rFonts w:hint="eastAsia" w:ascii="宋体" w:eastAsia="宋体" w:cs="宋体"/>
                <w:color w:val="000000"/>
                <w:kern w:val="0"/>
                <w:sz w:val="18"/>
                <w:szCs w:val="18"/>
              </w:rPr>
              <w:t>部门：</w:t>
            </w:r>
          </w:p>
        </w:tc>
        <w:tc>
          <w:tcPr>
            <w:tcW w:w="68"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68"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39"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3735"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功能分类科目编码</w:t>
            </w:r>
          </w:p>
        </w:tc>
        <w:tc>
          <w:tcPr>
            <w:tcW w:w="3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5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5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小计</w:t>
            </w:r>
          </w:p>
        </w:tc>
        <w:tc>
          <w:tcPr>
            <w:tcW w:w="115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基本支出</w:t>
            </w:r>
          </w:p>
        </w:tc>
        <w:tc>
          <w:tcPr>
            <w:tcW w:w="115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3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5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5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5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3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5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5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5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7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栏次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1</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2</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3</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4</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5</w:t>
            </w:r>
          </w:p>
        </w:tc>
        <w:tc>
          <w:tcPr>
            <w:tcW w:w="2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7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2"/>
              </w:rPr>
            </w:pPr>
            <w:r>
              <w:rPr>
                <w:rFonts w:hint="eastAsia" w:ascii="宋体" w:eastAsia="宋体" w:cs="宋体"/>
                <w:color w:val="000000"/>
                <w:kern w:val="0"/>
                <w:szCs w:val="22"/>
              </w:rPr>
              <w:t>合计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Cs w:val="22"/>
              </w:rPr>
            </w:pPr>
          </w:p>
        </w:tc>
        <w:tc>
          <w:tcPr>
            <w:tcW w:w="2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2"/>
              </w:rPr>
            </w:pPr>
          </w:p>
        </w:tc>
        <w:tc>
          <w:tcPr>
            <w:tcW w:w="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2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2"/>
              </w:rPr>
            </w:pPr>
          </w:p>
        </w:tc>
        <w:tc>
          <w:tcPr>
            <w:tcW w:w="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2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2"/>
              </w:rPr>
            </w:pPr>
          </w:p>
        </w:tc>
        <w:tc>
          <w:tcPr>
            <w:tcW w:w="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2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2"/>
              </w:rPr>
            </w:pPr>
          </w:p>
        </w:tc>
        <w:tc>
          <w:tcPr>
            <w:tcW w:w="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2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2"/>
              </w:rPr>
            </w:pPr>
          </w:p>
        </w:tc>
        <w:tc>
          <w:tcPr>
            <w:tcW w:w="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c>
          <w:tcPr>
            <w:tcW w:w="2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2"/>
              </w:rPr>
            </w:pPr>
          </w:p>
        </w:tc>
      </w:tr>
    </w:tbl>
    <w:p>
      <w:pPr>
        <w:rPr>
          <w:rFonts w:hint="eastAsia" w:ascii="宋体" w:eastAsia="宋体" w:cs="宋体"/>
          <w:sz w:val="20"/>
          <w:szCs w:val="22"/>
        </w:rPr>
      </w:pPr>
      <w:r>
        <w:rPr>
          <w:rFonts w:hint="eastAsia" w:ascii="宋体" w:eastAsia="宋体" w:cs="宋体"/>
          <w:sz w:val="20"/>
          <w:szCs w:val="22"/>
        </w:rPr>
        <w:t>注：本表反映部门本年度政府性基金预算财政拨款收入、支出及结转结余情况。</w:t>
      </w:r>
    </w:p>
    <w:p>
      <w:pPr>
        <w:ind w:firstLine="400" w:firstLineChars="200"/>
        <w:rPr>
          <w:rFonts w:hint="eastAsia" w:ascii="宋体" w:eastAsia="宋体" w:cs="宋体"/>
          <w:sz w:val="20"/>
          <w:szCs w:val="22"/>
        </w:rPr>
      </w:pPr>
      <w:r>
        <w:rPr>
          <w:rFonts w:hint="eastAsia" w:ascii="宋体" w:eastAsia="宋体" w:cs="宋体"/>
          <w:sz w:val="20"/>
          <w:szCs w:val="22"/>
        </w:rPr>
        <w:t>本部门本年度无收支及结转结余情况，按要求以空表列示。</w:t>
      </w: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p>
      <w:pPr>
        <w:rPr>
          <w:rFonts w:hint="eastAsia" w:ascii="宋体" w:eastAsia="宋体" w:cs="宋体"/>
          <w:sz w:val="20"/>
          <w:szCs w:val="22"/>
        </w:rPr>
      </w:pPr>
    </w:p>
    <w:tbl>
      <w:tblPr>
        <w:tblStyle w:val="7"/>
        <w:tblW w:w="90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0"/>
        <w:gridCol w:w="661"/>
        <w:gridCol w:w="177"/>
        <w:gridCol w:w="2780"/>
        <w:gridCol w:w="1138"/>
        <w:gridCol w:w="296"/>
        <w:gridCol w:w="1421"/>
        <w:gridCol w:w="1417"/>
        <w:gridCol w:w="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44" w:type="dxa"/>
          <w:trHeight w:val="824" w:hRule="atLeast"/>
        </w:trPr>
        <w:tc>
          <w:tcPr>
            <w:tcW w:w="8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28"/>
                <w:szCs w:val="28"/>
              </w:rPr>
            </w:pPr>
            <w:r>
              <w:rPr>
                <w:rFonts w:hint="eastAsia" w:ascii="黑体" w:eastAsia="黑体" w:cs="黑体"/>
                <w:color w:val="000000"/>
                <w:kern w:val="0"/>
                <w:sz w:val="28"/>
                <w:szCs w:val="28"/>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78" w:type="dxa"/>
            <w:gridSpan w:val="4"/>
            <w:vMerge w:val="restart"/>
            <w:tcBorders>
              <w:top w:val="nil"/>
              <w:left w:val="nil"/>
              <w:right w:val="nil"/>
            </w:tcBorders>
            <w:shd w:val="clear" w:color="auto" w:fill="auto"/>
            <w:noWrap/>
            <w:tcMar>
              <w:top w:w="15" w:type="dxa"/>
              <w:left w:w="15" w:type="dxa"/>
              <w:right w:w="15" w:type="dxa"/>
            </w:tcMar>
            <w:vAlign w:val="bottom"/>
          </w:tcPr>
          <w:p>
            <w:pPr>
              <w:widowControl/>
              <w:ind w:firstLine="1800" w:firstLineChars="900"/>
              <w:jc w:val="left"/>
              <w:textAlignment w:val="bottom"/>
              <w:rPr>
                <w:rFonts w:ascii="宋体" w:eastAsia="宋体" w:cs="宋体"/>
                <w:color w:val="000000"/>
                <w:sz w:val="20"/>
                <w:szCs w:val="20"/>
              </w:rPr>
            </w:pPr>
            <w:r>
              <w:rPr>
                <w:rFonts w:hint="eastAsia" w:ascii="宋体" w:eastAsia="宋体" w:cs="宋体"/>
                <w:color w:val="000000"/>
                <w:kern w:val="0"/>
                <w:sz w:val="20"/>
                <w:szCs w:val="20"/>
              </w:rPr>
              <w:t>公开09表</w:t>
            </w:r>
          </w:p>
          <w:p>
            <w:pPr>
              <w:ind w:right="400" w:firstLine="1300" w:firstLineChars="650"/>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6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78" w:type="dxa"/>
            <w:gridSpan w:val="4"/>
            <w:vMerge w:val="continue"/>
            <w:tcBorders>
              <w:left w:val="nil"/>
              <w:bottom w:val="nil"/>
              <w:right w:val="nil"/>
            </w:tcBorders>
            <w:shd w:val="clear" w:color="auto" w:fill="auto"/>
            <w:noWrap/>
            <w:tcMar>
              <w:top w:w="15" w:type="dxa"/>
              <w:left w:w="15" w:type="dxa"/>
              <w:right w:w="15" w:type="dxa"/>
            </w:tcMar>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44" w:type="dxa"/>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科目</w:t>
            </w:r>
          </w:p>
        </w:tc>
        <w:tc>
          <w:tcPr>
            <w:tcW w:w="4272"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44" w:type="dxa"/>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功能分类科目编码</w:t>
            </w:r>
          </w:p>
        </w:tc>
        <w:tc>
          <w:tcPr>
            <w:tcW w:w="29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科目名称</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小计</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基本支出</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eastAsia="黑体" w:cs="宋体"/>
                <w:color w:val="000000"/>
                <w:sz w:val="20"/>
                <w:szCs w:val="21"/>
              </w:rPr>
            </w:pPr>
            <w:r>
              <w:rPr>
                <w:rFonts w:hint="eastAsia" w:ascii="黑体" w:eastAsia="黑体" w:cs="宋体"/>
                <w:color w:val="000000"/>
                <w:kern w:val="0"/>
                <w:sz w:val="2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rFonts w:hint="eastAsia" w:ascii="宋体" w:eastAsia="宋体" w:cs="宋体"/>
        </w:rPr>
      </w:pPr>
      <w:r>
        <w:rPr>
          <w:rFonts w:hint="eastAsia" w:ascii="宋体" w:eastAsia="宋体" w:cs="宋体"/>
        </w:rPr>
        <w:t>注：本表反映部门本年度国有资本经营预算财政拨款收入、支出及结转结余情况。</w:t>
      </w:r>
    </w:p>
    <w:p>
      <w:pPr>
        <w:ind w:firstLine="420" w:firstLineChars="200"/>
        <w:rPr>
          <w:rFonts w:hint="eastAsia" w:ascii="宋体" w:eastAsia="宋体" w:cs="宋体"/>
          <w:lang w:eastAsia="zh-CN"/>
        </w:rPr>
      </w:pPr>
      <w:r>
        <w:rPr>
          <w:rFonts w:hint="eastAsia" w:ascii="宋体" w:eastAsia="宋体" w:cs="宋体"/>
        </w:rPr>
        <w:t>本部门本年度无相关支出情况，按要求以空表列示</w:t>
      </w:r>
      <w:r>
        <w:rPr>
          <w:rFonts w:hint="eastAsia" w:ascii="宋体" w:eastAsia="宋体" w:cs="宋体"/>
          <w:lang w:eastAsia="zh-CN"/>
        </w:rPr>
        <w:t>。</w:t>
      </w:r>
    </w:p>
    <w:p>
      <w:pPr>
        <w:rPr>
          <w:rFonts w:ascii="黑体" w:eastAsia="黑体" w:cs="黑体"/>
          <w:sz w:val="56"/>
          <w:szCs w:val="72"/>
        </w:rPr>
      </w:pPr>
    </w:p>
    <w:p>
      <w:pPr>
        <w:rPr>
          <w:rFonts w:ascii="黑体" w:eastAsia="黑体" w:cs="黑体"/>
          <w:sz w:val="56"/>
          <w:szCs w:val="72"/>
        </w:rPr>
      </w:pPr>
    </w:p>
    <w:p>
      <w:pPr>
        <w:rPr>
          <w:rFonts w:ascii="黑体" w:eastAsia="黑体" w:cs="黑体"/>
          <w:sz w:val="56"/>
          <w:szCs w:val="72"/>
        </w:rPr>
      </w:pPr>
    </w:p>
    <w:p>
      <w:pPr>
        <w:rPr>
          <w:rFonts w:ascii="黑体" w:eastAsia="黑体" w:cs="黑体"/>
          <w:sz w:val="56"/>
          <w:szCs w:val="72"/>
        </w:rPr>
      </w:pPr>
    </w:p>
    <w:p>
      <w:pPr>
        <w:rPr>
          <w:rFonts w:ascii="黑体" w:eastAsia="黑体" w:cs="黑体"/>
          <w:sz w:val="56"/>
          <w:szCs w:val="72"/>
        </w:rPr>
      </w:pPr>
    </w:p>
    <w:p>
      <w:pPr>
        <w:rPr>
          <w:rFonts w:ascii="黑体" w:eastAsia="黑体" w:cs="黑体"/>
          <w:sz w:val="56"/>
          <w:szCs w:val="72"/>
        </w:rPr>
      </w:pPr>
    </w:p>
    <w:p>
      <w:pPr>
        <w:tabs>
          <w:tab w:val="left" w:pos="235"/>
        </w:tabs>
        <w:spacing w:line="600" w:lineRule="exact"/>
        <w:ind w:firstLine="640" w:firstLineChars="200"/>
        <w:jc w:val="left"/>
        <w:rPr>
          <w:rFonts w:hint="eastAsia" w:ascii="仿宋_GB2312" w:eastAsia="仿宋_GB2312" w:cs="Arial Black"/>
          <w:kern w:val="0"/>
          <w:sz w:val="32"/>
          <w:szCs w:val="32"/>
        </w:rPr>
        <w:sectPr>
          <w:pgSz w:w="11906" w:h="16838"/>
          <w:pgMar w:top="1984" w:right="1531" w:bottom="2098" w:left="1531" w:header="851" w:footer="992" w:gutter="0"/>
          <w:cols w:space="720" w:num="1"/>
          <w:docGrid w:type="lines" w:linePitch="312" w:charSpace="0"/>
        </w:sectPr>
      </w:pPr>
    </w:p>
    <w:p>
      <w:pPr>
        <w:tabs>
          <w:tab w:val="left" w:pos="235"/>
        </w:tabs>
        <w:spacing w:line="600" w:lineRule="exact"/>
        <w:ind w:firstLine="640" w:firstLineChars="200"/>
        <w:jc w:val="left"/>
        <w:rPr>
          <w:rFonts w:ascii="仿宋_GB2312" w:eastAsia="仿宋_GB2312" w:cs="Arial Black"/>
          <w:kern w:val="0"/>
          <w:sz w:val="32"/>
          <w:szCs w:val="32"/>
        </w:rPr>
      </w:pPr>
      <w:r>
        <w:rPr>
          <w:sz w:val="32"/>
        </w:rPr>
        <mc:AlternateContent>
          <mc:Choice Requires="wps">
            <w:drawing>
              <wp:anchor distT="0" distB="0" distL="113665" distR="113665" simplePos="0" relativeHeight="251659264" behindDoc="0" locked="0" layoutInCell="1" allowOverlap="1">
                <wp:simplePos x="0" y="0"/>
                <wp:positionH relativeFrom="column">
                  <wp:posOffset>-992505</wp:posOffset>
                </wp:positionH>
                <wp:positionV relativeFrom="paragraph">
                  <wp:posOffset>-1353820</wp:posOffset>
                </wp:positionV>
                <wp:extent cx="7632700" cy="10695940"/>
                <wp:effectExtent l="0" t="0" r="0" b="0"/>
                <wp:wrapNone/>
                <wp:docPr id="32" name="矩形 3"/>
                <wp:cNvGraphicFramePr/>
                <a:graphic xmlns:a="http://schemas.openxmlformats.org/drawingml/2006/main">
                  <a:graphicData uri="http://schemas.microsoft.com/office/word/2010/wordprocessingShape">
                    <wps:wsp>
                      <wps:cNvSpPr/>
                      <wps:spPr>
                        <a:xfrm>
                          <a:off x="0" y="0"/>
                          <a:ext cx="7632700" cy="10695940"/>
                        </a:xfrm>
                        <a:prstGeom prst="rect">
                          <a:avLst/>
                        </a:prstGeom>
                        <a:solidFill>
                          <a:srgbClr val="BDD7EE"/>
                        </a:solidFill>
                        <a:ln w="9525" cap="flat" cmpd="sng">
                          <a:noFill/>
                          <a:prstDash val="solid"/>
                          <a:round/>
                        </a:ln>
                      </wps:spPr>
                      <wps:bodyPr vert="horz" wrap="square" lIns="91440" tIns="45720" rIns="91440" bIns="45720" anchor="t" anchorCtr="0" upright="1">
                        <a:noAutofit/>
                      </wps:bodyPr>
                    </wps:wsp>
                  </a:graphicData>
                </a:graphic>
              </wp:anchor>
            </w:drawing>
          </mc:Choice>
          <mc:Fallback>
            <w:pict>
              <v:rect id="矩形 3" o:spid="_x0000_s1026" o:spt="1" style="position:absolute;left:0pt;margin-left:-78.15pt;margin-top:-106.6pt;height:842.2pt;width:601pt;z-index:251659264;mso-width-relative:page;mso-height-relative:page;" fillcolor="#BDD7EE" filled="t" stroked="f" coordsize="21600,21600" o:gfxdata="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LbEDNwA&#10;AAAPAQAADwAAAAAAAAABACAAAAAiAAAAZHJzL2Rvd25yZXYueG1sUEsBAhQAFAAAAAgAh07iQC5Y&#10;lHwbAgAAJQQAAA4AAAAAAAAAAQAgAAAAKwEAAGRycy9lMm9Eb2MueG1sUEsFBgAAAAAGAAYAWQEA&#10;ALgFAAAAAA==&#10;">
                <v:fill on="t" focussize="0,0"/>
                <v:stroke on="f" joinstyle="round"/>
                <v:imagedata o:title=""/>
                <o:lock v:ext="edit" aspectratio="f"/>
              </v:rect>
            </w:pict>
          </mc:Fallback>
        </mc:AlternateContent>
      </w:r>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roma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方正书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楷体_GB2312">
    <w:altName w:val="楷体"/>
    <w:panose1 w:val="00000000000000000000"/>
    <w:charset w:val="01"/>
    <w:family w:val="auto"/>
    <w:pitch w:val="default"/>
    <w:sig w:usb0="00000000" w:usb1="00000000" w:usb2="00000000" w:usb3="00000000" w:csb0="0000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ind w:left="0" w:firstLine="0"/>
      </w:pPr>
      <w:rPr>
        <w:rFonts w:hint="eastAsia"/>
      </w:rPr>
    </w:lvl>
  </w:abstractNum>
  <w:abstractNum w:abstractNumId="1">
    <w:nsid w:val="5F222FFA"/>
    <w:multiLevelType w:val="singleLevel"/>
    <w:tmpl w:val="5F222FFA"/>
    <w:lvl w:ilvl="0" w:tentative="0">
      <w:start w:val="1"/>
      <w:numFmt w:val="decimal"/>
      <w:suff w:val="nothing"/>
      <w:lvlText w:val="（%1）"/>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07F766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font51"/>
    <w:basedOn w:val="8"/>
    <w:qFormat/>
    <w:uiPriority w:val="0"/>
    <w:rPr>
      <w:rFonts w:ascii="宋体" w:eastAsia="宋体" w:cs="宋体"/>
      <w:color w:val="000000"/>
      <w:sz w:val="16"/>
      <w:szCs w:val="16"/>
      <w:u w:val="none"/>
    </w:rPr>
  </w:style>
  <w:style w:type="character" w:customStyle="1" w:styleId="11">
    <w:name w:val="font81"/>
    <w:basedOn w:val="8"/>
    <w:qFormat/>
    <w:uiPriority w:val="0"/>
    <w:rPr>
      <w:rFonts w:ascii="Calibri" w:hAnsi="Calibri" w:cs="Calibri"/>
      <w:color w:val="000000"/>
      <w:sz w:val="16"/>
      <w:szCs w:val="16"/>
      <w:u w:val="none"/>
    </w:rPr>
  </w:style>
  <w:style w:type="character" w:customStyle="1" w:styleId="12">
    <w:name w:val="font91"/>
    <w:basedOn w:val="8"/>
    <w:qFormat/>
    <w:uiPriority w:val="0"/>
    <w:rPr>
      <w:rFonts w:ascii="Calibri" w:hAnsi="Calibri" w:cs="Calibri"/>
      <w:color w:val="000000"/>
      <w:sz w:val="12"/>
      <w:szCs w:val="12"/>
      <w:u w:val="none"/>
    </w:rPr>
  </w:style>
  <w:style w:type="character" w:customStyle="1" w:styleId="13">
    <w:name w:val="font61"/>
    <w:basedOn w:val="8"/>
    <w:qFormat/>
    <w:uiPriority w:val="0"/>
    <w:rPr>
      <w:rFonts w:ascii="宋体" w:eastAsia="宋体" w:cs="宋体"/>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2.bmp"/><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楷体_GB2312"/>
                <a:ea typeface="楷体_GB2312"/>
                <a:cs typeface="Arial" panose="020B0604020202020204" pitchFamily="2"/>
              </a:defRPr>
            </a:pPr>
            <a:r>
              <a:rPr lang="zh-CN" sz="1400" b="0" i="0" u="none" strike="noStrike" baseline="0">
                <a:solidFill>
                  <a:srgbClr val="595959"/>
                </a:solidFill>
                <a:latin typeface="楷体_GB2312"/>
                <a:ea typeface="楷体_GB2312"/>
                <a:cs typeface="Arial" panose="020B0604020202020204" pitchFamily="2"/>
              </a:rPr>
              <a:t>2019-2020年收支总计对比情况（图1）</a:t>
            </a:r>
            <a:endParaRPr lang="zh-CN" sz="1400" b="0" i="0" u="none" strike="noStrike" baseline="0">
              <a:solidFill>
                <a:srgbClr val="595959"/>
              </a:solidFill>
              <a:latin typeface="楷体_GB2312"/>
              <a:ea typeface="楷体_GB2312"/>
              <a:cs typeface="Arial" panose="020B0604020202020204" pitchFamily="2"/>
            </a:endParaRPr>
          </a:p>
        </c:rich>
      </c:tx>
      <c:layout>
        <c:manualLayout>
          <c:xMode val="edge"/>
          <c:yMode val="edge"/>
          <c:x val="0.20971836"/>
          <c:y val="0.84664804"/>
        </c:manualLayout>
      </c:layout>
      <c:overlay val="0"/>
      <c:spPr>
        <a:noFill/>
        <a:ln>
          <a:noFill/>
        </a:ln>
      </c:spPr>
    </c:title>
    <c:autoTitleDeleted val="0"/>
    <c:plotArea>
      <c:layout>
        <c:manualLayout>
          <c:layoutTarget val="inner"/>
          <c:xMode val="edge"/>
          <c:yMode val="edge"/>
          <c:x val="0.12394624"/>
          <c:y val="0.08798882"/>
          <c:w val="0.7787721"/>
          <c:h val="0.6191062"/>
        </c:manualLayout>
      </c:layout>
      <c:barChart>
        <c:barDir val="col"/>
        <c:grouping val="clustered"/>
        <c:varyColors val="0"/>
        <c:ser>
          <c:idx val="0"/>
          <c:order val="0"/>
          <c:tx>
            <c:strRef>
              <c:f>'Sheet1'!$B$1</c:f>
              <c:strCache>
                <c:ptCount val="1"/>
                <c:pt idx="0">
                  <c:v>收支总计</c:v>
                </c:pt>
              </c:strCache>
            </c:strRef>
          </c:tx>
          <c:spPr>
            <a:solidFill>
              <a:srgbClr val="5B9BD5"/>
            </a:solidFill>
            <a:ln>
              <a:noFill/>
            </a:ln>
          </c:spPr>
          <c:invertIfNegative val="0"/>
          <c:dLbls>
            <c:dLbl>
              <c:idx val="1"/>
              <c:layout/>
              <c:tx>
                <c:rich>
                  <a:bodyPr rot="0" spcFirstLastPara="0" vertOverflow="ellipsis" vert="horz" wrap="square" lIns="38100" tIns="19050" rIns="38100" bIns="19050" anchor="ctr" anchorCtr="1"/>
                  <a:lstStyle/>
                  <a:p>
                    <a:pPr>
                      <a:defRPr lang="zh-CN" sz="900" b="0" i="0" u="none" strike="noStrike" kern="1200" baseline="0">
                        <a:solidFill>
                          <a:srgbClr val="404040"/>
                        </a:solidFill>
                        <a:latin typeface="楷体_GB2312"/>
                        <a:ea typeface="楷体_GB2312"/>
                        <a:cs typeface="Arial" panose="020B0604020202020204" pitchFamily="2"/>
                      </a:defRPr>
                    </a:pPr>
                    <a:r>
                      <a:rPr lang="zh-CN" sz="900" b="0" i="0" u="none" strike="noStrike" baseline="0">
                        <a:solidFill>
                          <a:srgbClr val="404040"/>
                        </a:solidFill>
                        <a:latin typeface="楷体_GB2312"/>
                        <a:ea typeface="楷体_GB2312"/>
                        <a:cs typeface="Arial" panose="020B0604020202020204" pitchFamily="2"/>
                      </a:rPr>
                      <a:t>2889.96</a:t>
                    </a:r>
                    <a:endParaRPr lang="zh-CN" sz="900" b="0" i="0" u="none" strike="noStrike" baseline="0">
                      <a:solidFill>
                        <a:srgbClr val="404040"/>
                      </a:solidFill>
                      <a:latin typeface="楷体_GB2312"/>
                      <a:ea typeface="楷体_GB2312"/>
                      <a:cs typeface="Arial" panose="020B0604020202020204" pitchFamily="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楷体_GB2312"/>
                      <a:ea typeface="楷体_GB2312"/>
                      <a:cs typeface="Arial" panose="020B0604020202020204" pitchFamily="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楷体_GB2312"/>
                    <a:ea typeface="楷体_GB231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2019年</c:v>
                </c:pt>
                <c:pt idx="1">
                  <c:v>2020年</c:v>
                </c:pt>
              </c:strCache>
            </c:strRef>
          </c:cat>
          <c:val>
            <c:numRef>
              <c:f>'Sheet1'!$B$2:$B$3</c:f>
              <c:numCache>
                <c:formatCode>General</c:formatCode>
                <c:ptCount val="2"/>
                <c:pt idx="0">
                  <c:v>2780.11</c:v>
                </c:pt>
                <c:pt idx="1">
                  <c:v>2895.98</c:v>
                </c:pt>
              </c:numCache>
            </c:numRef>
          </c:val>
        </c:ser>
        <c:dLbls>
          <c:showLegendKey val="0"/>
          <c:showVal val="1"/>
          <c:showCatName val="0"/>
          <c:showSerName val="0"/>
          <c:showPercent val="0"/>
          <c:showBubbleSize val="0"/>
        </c:dLbls>
        <c:gapWidth val="219"/>
        <c:overlap val="-27"/>
        <c:axId val="0"/>
        <c:axId val="1"/>
      </c:barChart>
      <c:catAx>
        <c:axId val="0"/>
        <c:scaling>
          <c:orientation val="minMax"/>
        </c:scaling>
        <c:delete val="0"/>
        <c:axPos val="b"/>
        <c:numFmt formatCode="General" sourceLinked="0"/>
        <c:majorTickMark val="none"/>
        <c:minorTickMark val="none"/>
        <c:tickLblPos val="nextTo"/>
        <c:spPr>
          <a:ln w="1270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楷体_GB2312"/>
                <a:ea typeface="楷体_GB2312"/>
                <a:cs typeface="Arial" panose="020B0604020202020204" pitchFamily="2"/>
              </a:defRPr>
            </a:pPr>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楷体_GB2312"/>
                <a:ea typeface="楷体_GB2312"/>
                <a:cs typeface="Arial" panose="020B0604020202020204" pitchFamily="2"/>
              </a:defRPr>
            </a:pPr>
          </a:p>
        </c:txPr>
        <c:crossAx val="0"/>
        <c:crossesAt val="1"/>
        <c:crossBetween val="between"/>
      </c:valAx>
      <c:spPr>
        <a:noFill/>
        <a:ln>
          <a:noFill/>
        </a:ln>
      </c:spPr>
    </c:plotArea>
    <c:legend>
      <c:legendPos val="b"/>
      <c:legendEntry>
        <c:idx val="0"/>
        <c:txPr>
          <a:bodyPr rot="0" spcFirstLastPara="0" vertOverflow="ellipsis" vert="horz" wrap="square" anchor="ctr" anchorCtr="1"/>
          <a:lstStyle/>
          <a:p>
            <a:pPr>
              <a:defRPr lang="zh-CN" sz="900" b="0" i="0" u="none" strike="noStrike" kern="1200" baseline="0">
                <a:solidFill>
                  <a:srgbClr val="595959"/>
                </a:solidFill>
                <a:latin typeface="楷体_GB2312"/>
                <a:ea typeface="楷体_GB2312"/>
                <a:cs typeface="Arial" panose="020B0604020202020204" pitchFamily="2"/>
              </a:defRPr>
            </a:pPr>
          </a:p>
        </c:txPr>
      </c:legendEntry>
      <c:layout>
        <c:manualLayout>
          <c:xMode val="edge"/>
          <c:yMode val="edge"/>
          <c:x val="0.8303128"/>
          <c:y val="0.36317316"/>
        </c:manualLayout>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楷体_GB2312"/>
              <a:ea typeface="楷体_GB2312"/>
              <a:cs typeface="Arial" panose="020B0604020202020204" pitchFamily="2"/>
            </a:defRPr>
          </a:pPr>
        </a:p>
      </c:txPr>
    </c:legend>
    <c:plotVisOnly val="1"/>
    <c:dispBlanksAs val="gap"/>
    <c:showDLblsOverMax val="0"/>
  </c:chart>
  <c:spPr>
    <a:solidFill>
      <a:srgbClr val="FFFFFF"/>
    </a:solidFill>
    <a:ln w="9525" cap="flat" cmpd="sng" algn="ctr">
      <a:noFill/>
      <a:prstDash val="solid"/>
      <a:round/>
    </a:ln>
  </c:spPr>
  <c:txPr>
    <a:bodyPr/>
    <a:lstStyle/>
    <a:p>
      <a:pPr>
        <a:defRPr lang="zh-CN" sz="1000" b="0" i="0" u="none" strike="noStrike" baseline="0">
          <a:solidFill>
            <a:srgbClr val="000000"/>
          </a:solidFill>
          <a:latin typeface="楷体_GB2312"/>
          <a:ea typeface="楷体_GB2312"/>
          <a:cs typeface="Arial" panose="020B0604020202020204" pitchFamily="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4F81BD"/>
            </a:solidFill>
            <a:ln>
              <a:noFill/>
            </a:ln>
          </c:spPr>
          <c:explosion val="0"/>
          <c:dPt>
            <c:idx val="0"/>
            <c:bubble3D val="0"/>
            <c:spPr>
              <a:solidFill>
                <a:srgbClr val="5B9BD5"/>
              </a:solidFill>
              <a:ln w="19050">
                <a:solidFill>
                  <a:srgbClr val="FFFFFF"/>
                </a:solidFill>
                <a:prstDash val="solid"/>
              </a:ln>
            </c:spPr>
          </c:dPt>
          <c:dPt>
            <c:idx val="1"/>
            <c:bubble3D val="0"/>
            <c:spPr>
              <a:solidFill>
                <a:srgbClr val="ED7D31"/>
              </a:solidFill>
              <a:ln w="19050">
                <a:solidFill>
                  <a:srgbClr val="FFFFFF"/>
                </a:solidFill>
                <a:prstDash val="solid"/>
              </a:ln>
            </c:spPr>
          </c:dPt>
          <c:dPt>
            <c:idx val="2"/>
            <c:bubble3D val="0"/>
            <c:spPr>
              <a:solidFill>
                <a:srgbClr val="A5A5A5"/>
              </a:solidFill>
              <a:ln w="19050">
                <a:solidFill>
                  <a:srgbClr val="FFFFFF"/>
                </a:solidFill>
                <a:prstDash val="solid"/>
              </a:ln>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rgbClr val="404040"/>
                        </a:solidFill>
                        <a:latin typeface="Times New Roman" panose="02020603050405020304"/>
                        <a:ea typeface="宋体" panose="02010600030101010101" charset="-122"/>
                        <a:cs typeface="Arial" panose="020B0604020202020204" pitchFamily="2"/>
                      </a:defRPr>
                    </a:pPr>
                    <a:r>
                      <a:rPr lang="zh-CN" sz="900" b="0" i="0" u="none" strike="noStrike" baseline="0">
                        <a:solidFill>
                          <a:srgbClr val="404040"/>
                        </a:solidFill>
                        <a:latin typeface="Times New Roman" panose="02020603050405020304"/>
                        <a:ea typeface="宋体" panose="02010600030101010101" charset="-122"/>
                        <a:cs typeface="Arial" panose="020B0604020202020204" pitchFamily="2"/>
                      </a:rPr>
                      <a:t>79.62%</a:t>
                    </a:r>
                    <a:endParaRPr lang="zh-CN" sz="900" b="0" i="0" u="none" strike="noStrike" baseline="0">
                      <a:solidFill>
                        <a:srgbClr val="404040"/>
                      </a:solidFill>
                      <a:latin typeface="Times New Roman" panose="02020603050405020304"/>
                      <a:ea typeface="宋体" panose="02010600030101010101" charset="-122"/>
                      <a:cs typeface="Arial" panose="020B0604020202020204" pitchFamily="2"/>
                    </a:endParaRPr>
                  </a:p>
                </c:rich>
              </c:tx>
              <c:numFmt formatCode="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Times New Roman" panose="02020603050405020304"/>
                      <a:ea typeface="宋体" panose="02010600030101010101" charset="-122"/>
                      <a:cs typeface="Arial" panose="020B0604020202020204" pitchFamily="2"/>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rgbClr val="404040"/>
                        </a:solidFill>
                        <a:latin typeface="Times New Roman" panose="02020603050405020304"/>
                        <a:ea typeface="宋体" panose="02010600030101010101" charset="-122"/>
                        <a:cs typeface="Arial" panose="020B0604020202020204" pitchFamily="2"/>
                      </a:defRPr>
                    </a:pPr>
                    <a:r>
                      <a:rPr lang="zh-CN" sz="900" b="0" i="0" u="none" strike="noStrike" baseline="0">
                        <a:solidFill>
                          <a:srgbClr val="404040"/>
                        </a:solidFill>
                        <a:latin typeface="Times New Roman" panose="02020603050405020304"/>
                        <a:ea typeface="宋体" panose="02010600030101010101" charset="-122"/>
                        <a:cs typeface="Arial" panose="020B0604020202020204" pitchFamily="2"/>
                      </a:rPr>
                      <a:t>20.38%</a:t>
                    </a:r>
                    <a:endParaRPr lang="zh-CN" sz="900" b="0" i="0" u="none" strike="noStrike" baseline="0">
                      <a:solidFill>
                        <a:srgbClr val="404040"/>
                      </a:solidFill>
                      <a:latin typeface="Times New Roman" panose="02020603050405020304"/>
                      <a:ea typeface="宋体" panose="02010600030101010101" charset="-122"/>
                      <a:cs typeface="Arial" panose="020B0604020202020204" pitchFamily="2"/>
                    </a:endParaRPr>
                  </a:p>
                </c:rich>
              </c:tx>
              <c:numFmt formatCode="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Times New Roman" panose="02020603050405020304"/>
                      <a:ea typeface="宋体" panose="02010600030101010101" charset="-122"/>
                      <a:cs typeface="Arial" panose="020B0604020202020204" pitchFamily="2"/>
                    </a:defRPr>
                  </a:pPr>
                </a:p>
              </c:txPr>
              <c:dLblPos val="bestFit"/>
              <c:showLegendKey val="0"/>
              <c:showVal val="0"/>
              <c:showCatName val="0"/>
              <c:showSerName val="0"/>
              <c:showPercent val="1"/>
              <c:showBubbleSize val="0"/>
              <c:extLst>
                <c:ext xmlns:c15="http://schemas.microsoft.com/office/drawing/2012/chart" uri="{CE6537A1-D6FC-4f65-9D91-7224C49458BB}"/>
              </c:extLst>
            </c:dLbl>
            <c:numFmt formatCode="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Times New Roman" panose="02020603050405020304"/>
                    <a:ea typeface="宋体" panose="02010600030101010101" charset="-122"/>
                    <a:cs typeface="Arial" panose="020B0604020202020204" pitchFamily="2"/>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{"基本支出","项目支出","经营支出"}</c:f>
              <c:strCache>
                <c:ptCount val="3"/>
                <c:pt idx="0">
                  <c:v>基本支出</c:v>
                </c:pt>
                <c:pt idx="1">
                  <c:v>项目支出</c:v>
                </c:pt>
                <c:pt idx="2">
                  <c:v>经营支出</c:v>
                </c:pt>
              </c:strCache>
            </c:strRef>
          </c:cat>
          <c:val>
            <c:numRef>
              <c:f>{1152.85,295.14,0}</c:f>
              <c:numCache>
                <c:formatCode>General</c:formatCode>
                <c:ptCount val="3"/>
                <c:pt idx="0">
                  <c:v>1152.85</c:v>
                </c:pt>
                <c:pt idx="1">
                  <c:v>295.14</c:v>
                </c:pt>
                <c:pt idx="2">
                  <c:v>0</c:v>
                </c:pt>
              </c:numCache>
            </c:numRef>
          </c:val>
        </c:ser>
        <c:dLbls>
          <c:showLegendKey val="0"/>
          <c:showVal val="0"/>
          <c:showCatName val="0"/>
          <c:showSerName val="0"/>
          <c:showPercent val="1"/>
          <c:showBubbleSize val="0"/>
          <c:showLeaderLines val="1"/>
        </c:dLbls>
        <c:firstSliceAng val="0"/>
      </c:pieChart>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legend>
    <c:plotVisOnly val="1"/>
    <c:dispBlanksAs val="gap"/>
    <c:showDLblsOverMax val="0"/>
  </c:chart>
  <c:spPr>
    <a:solidFill>
      <a:srgbClr val="FFFFFF"/>
    </a:solidFill>
    <a:ln w="1270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595959"/>
                </a:solidFill>
                <a:latin typeface="Times New Roman" panose="02020603050405020304"/>
                <a:ea typeface="宋体" panose="02010600030101010101" charset="-122"/>
                <a:cs typeface="Arial" panose="020B0604020202020204" pitchFamily="2"/>
              </a:defRPr>
            </a:pPr>
            <a:r>
              <a:rPr lang="zh-CN"/>
              <a:t>财政拨款决算对比</a:t>
            </a:r>
            <a:endParaRPr lang="zh-CN"/>
          </a:p>
        </c:rich>
      </c:tx>
      <c:layout>
        <c:manualLayout>
          <c:xMode val="edge"/>
          <c:yMode val="edge"/>
          <c:x val="0.2795635"/>
          <c:y val="0.07986111"/>
        </c:manualLayout>
      </c:layout>
      <c:overlay val="0"/>
      <c:spPr>
        <a:ln>
          <a:noFill/>
        </a:ln>
      </c:spPr>
    </c:title>
    <c:autoTitleDeleted val="0"/>
    <c:plotArea>
      <c:layout/>
      <c:barChart>
        <c:barDir val="col"/>
        <c:grouping val="clustered"/>
        <c:varyColors val="0"/>
        <c:ser>
          <c:idx val="0"/>
          <c:order val="0"/>
          <c:tx>
            <c:strRef>
              <c:f>2019年</c:f>
              <c:strCache>
                <c:ptCount val="1"/>
                <c:pt idx="0">
                  <c:v>2019年</c:v>
                </c:pt>
              </c:strCache>
            </c:strRef>
          </c:tx>
          <c:spPr>
            <a:solidFill>
              <a:srgbClr val="5B9BD5"/>
            </a:solidFill>
            <a:ln>
              <a:noFill/>
            </a:ln>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{"收","支"}</c:f>
              <c:strCache>
                <c:ptCount val="2"/>
                <c:pt idx="0">
                  <c:v>收</c:v>
                </c:pt>
                <c:pt idx="1">
                  <c:v>支</c:v>
                </c:pt>
              </c:strCache>
            </c:strRef>
          </c:cat>
          <c:val>
            <c:numRef>
              <c:f>{1394.22,1387.89}</c:f>
              <c:numCache>
                <c:formatCode>General</c:formatCode>
                <c:ptCount val="2"/>
                <c:pt idx="0">
                  <c:v>1394.22</c:v>
                </c:pt>
                <c:pt idx="1">
                  <c:v>1387.89</c:v>
                </c:pt>
              </c:numCache>
            </c:numRef>
          </c:val>
        </c:ser>
        <c:ser>
          <c:idx val="1"/>
          <c:order val="1"/>
          <c:tx>
            <c:strRef>
              <c:f>2020年</c:f>
              <c:strCache>
                <c:ptCount val="1"/>
                <c:pt idx="0">
                  <c:v>2020年</c:v>
                </c:pt>
              </c:strCache>
            </c:strRef>
          </c:tx>
          <c:spPr>
            <a:solidFill>
              <a:srgbClr val="ED7D31"/>
            </a:solidFill>
            <a:ln>
              <a:noFill/>
            </a:ln>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{"收","支"}</c:f>
              <c:strCache>
                <c:ptCount val="2"/>
                <c:pt idx="0">
                  <c:v>收</c:v>
                </c:pt>
                <c:pt idx="1">
                  <c:v>支</c:v>
                </c:pt>
              </c:strCache>
            </c:strRef>
          </c:cat>
          <c:val>
            <c:numRef>
              <c:f>{1441.97,1447.99}</c:f>
              <c:numCache>
                <c:formatCode>General</c:formatCode>
                <c:ptCount val="2"/>
                <c:pt idx="0">
                  <c:v>1441.97</c:v>
                </c:pt>
                <c:pt idx="1">
                  <c:v>1447.99</c:v>
                </c:pt>
              </c:numCache>
            </c:numRef>
          </c:val>
        </c:ser>
        <c:ser>
          <c:idx val="2"/>
          <c:order val="2"/>
          <c:spPr>
            <a:solidFill>
              <a:srgbClr val="A5A5A5"/>
            </a:solidFill>
            <a:ln>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{"收","支"}</c:f>
              <c:strCache>
                <c:ptCount val="2"/>
                <c:pt idx="0">
                  <c:v>收</c:v>
                </c:pt>
                <c:pt idx="1">
                  <c:v>支</c:v>
                </c:pt>
              </c:strCache>
            </c:strRef>
          </c:cat>
          <c:val>
            <c:numRef>
              <c:f>{}</c:f>
            </c:numRef>
          </c:val>
        </c:ser>
        <c:dLbls>
          <c:showLegendKey val="0"/>
          <c:showVal val="1"/>
          <c:showCatName val="0"/>
          <c:showSerName val="0"/>
          <c:showPercent val="0"/>
          <c:showBubbleSize val="0"/>
        </c:dLbls>
        <c:gapWidth val="219"/>
        <c:overlap val="-27"/>
        <c:axId val="0"/>
        <c:axId val="1"/>
      </c:barChart>
      <c:catAx>
        <c:axId val="0"/>
        <c:scaling>
          <c:orientation val="minMax"/>
        </c:scaling>
        <c:delete val="0"/>
        <c:axPos val="b"/>
        <c:numFmt formatCode="General" sourceLinked="0"/>
        <c:majorTickMark val="none"/>
        <c:minorTickMark val="none"/>
        <c:tickLblPos val="nextTo"/>
        <c:spPr>
          <a:ln w="1270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crossAx val="1"/>
        <c:crosses val="autoZero"/>
        <c:auto val="1"/>
        <c:lblAlgn val="ctr"/>
        <c:lblOffset val="100"/>
        <c:noMultiLvlLbl val="0"/>
      </c:catAx>
      <c:valAx>
        <c:axId val="1"/>
        <c:scaling>
          <c:orientation val="minMax"/>
        </c:scaling>
        <c:delete val="0"/>
        <c:axPos val="l"/>
        <c:majorGridlines>
          <c:spPr>
            <a:ln w="12700" cap="flat" cmpd="sng" algn="ctr">
              <a:solidFill>
                <a:srgbClr val="D9D9D9"/>
              </a:solidFill>
              <a:prstDash val="solid"/>
              <a:round/>
            </a:ln>
          </c:spPr>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crossAx val="0"/>
        <c:crossesAt val="1"/>
        <c:crossBetween val="between"/>
      </c:valAx>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legend>
    <c:plotVisOnly val="1"/>
    <c:dispBlanksAs val="gap"/>
    <c:showDLblsOverMax val="0"/>
  </c:chart>
  <c:spPr>
    <a:solidFill>
      <a:srgbClr val="FFFFFF"/>
    </a:solidFill>
    <a:ln w="1270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939393"/>
                </a:solidFill>
                <a:latin typeface="Times New Roman" panose="02020603050405020304"/>
                <a:ea typeface="宋体" panose="02010600030101010101" charset="-122"/>
                <a:cs typeface="Arial" panose="020B0604020202020204" pitchFamily="2"/>
              </a:defRPr>
            </a:pPr>
            <a:r>
              <a:rPr lang="zh-CN"/>
              <a:t>财政拨款决算对比</a:t>
            </a:r>
            <a:endParaRPr lang="zh-CN"/>
          </a:p>
        </c:rich>
      </c:tx>
      <c:layout>
        <c:manualLayout>
          <c:xMode val="edge"/>
          <c:yMode val="edge"/>
          <c:x val="0.2795635"/>
          <c:y val="0.07986111"/>
        </c:manualLayout>
      </c:layout>
      <c:overlay val="0"/>
      <c:spPr>
        <a:ln>
          <a:noFill/>
        </a:ln>
      </c:spPr>
    </c:title>
    <c:autoTitleDeleted val="0"/>
    <c:plotArea>
      <c:layout/>
      <c:barChart>
        <c:barDir val="col"/>
        <c:grouping val="clustered"/>
        <c:varyColors val="0"/>
        <c:ser>
          <c:idx val="0"/>
          <c:order val="0"/>
          <c:tx>
            <c:strRef>
              <c:f>2019年</c:f>
              <c:strCache>
                <c:ptCount val="1"/>
                <c:pt idx="0">
                  <c:v>2019年</c:v>
                </c:pt>
              </c:strCache>
            </c:strRef>
          </c:tx>
          <c:spPr>
            <a:solidFill>
              <a:srgbClr val="5B9BD5"/>
            </a:solidFill>
            <a:ln>
              <a:noFill/>
            </a:ln>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{"收","支"}</c:f>
              <c:strCache>
                <c:ptCount val="2"/>
                <c:pt idx="0">
                  <c:v>收</c:v>
                </c:pt>
                <c:pt idx="1">
                  <c:v>支</c:v>
                </c:pt>
              </c:strCache>
            </c:strRef>
          </c:cat>
          <c:val>
            <c:numRef>
              <c:f>{1394.22,1387.89}</c:f>
              <c:numCache>
                <c:formatCode>General</c:formatCode>
                <c:ptCount val="2"/>
                <c:pt idx="0">
                  <c:v>1394.22</c:v>
                </c:pt>
                <c:pt idx="1">
                  <c:v>1387.89</c:v>
                </c:pt>
              </c:numCache>
            </c:numRef>
          </c:val>
        </c:ser>
        <c:ser>
          <c:idx val="1"/>
          <c:order val="1"/>
          <c:tx>
            <c:strRef>
              <c:f>2018年</c:f>
              <c:strCache>
                <c:ptCount val="1"/>
                <c:pt idx="0">
                  <c:v>2018年</c:v>
                </c:pt>
              </c:strCache>
            </c:strRef>
          </c:tx>
          <c:spPr>
            <a:solidFill>
              <a:srgbClr val="ED7D31"/>
            </a:solidFill>
            <a:ln>
              <a:noFill/>
            </a:ln>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{"收","支"}</c:f>
              <c:strCache>
                <c:ptCount val="2"/>
                <c:pt idx="0">
                  <c:v>收</c:v>
                </c:pt>
                <c:pt idx="1">
                  <c:v>支</c:v>
                </c:pt>
              </c:strCache>
            </c:strRef>
          </c:cat>
          <c:val>
            <c:numRef>
              <c:f>{1125.56,1130.63}</c:f>
              <c:numCache>
                <c:formatCode>General</c:formatCode>
                <c:ptCount val="2"/>
                <c:pt idx="0">
                  <c:v>1125.56</c:v>
                </c:pt>
                <c:pt idx="1">
                  <c:v>1130.63</c:v>
                </c:pt>
              </c:numCache>
            </c:numRef>
          </c:val>
        </c:ser>
        <c:ser>
          <c:idx val="2"/>
          <c:order val="2"/>
          <c:spPr>
            <a:solidFill>
              <a:srgbClr val="A5A5A5"/>
            </a:solidFill>
            <a:ln>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{"收","支"}</c:f>
              <c:strCache>
                <c:ptCount val="2"/>
                <c:pt idx="0">
                  <c:v>收</c:v>
                </c:pt>
                <c:pt idx="1">
                  <c:v>支</c:v>
                </c:pt>
              </c:strCache>
            </c:strRef>
          </c:cat>
          <c:val>
            <c:numRef>
              <c:f>{}</c:f>
            </c:numRef>
          </c:val>
        </c:ser>
        <c:dLbls>
          <c:showLegendKey val="0"/>
          <c:showVal val="1"/>
          <c:showCatName val="0"/>
          <c:showSerName val="0"/>
          <c:showPercent val="0"/>
          <c:showBubbleSize val="0"/>
        </c:dLbls>
        <c:gapWidth val="219"/>
        <c:overlap val="-27"/>
        <c:axId val="0"/>
        <c:axId val="1"/>
      </c:barChart>
      <c:catAx>
        <c:axId val="0"/>
        <c:scaling>
          <c:orientation val="minMax"/>
        </c:scaling>
        <c:delete val="0"/>
        <c:axPos val="b"/>
        <c:numFmt formatCode="General" sourceLinked="0"/>
        <c:majorTickMark val="none"/>
        <c:minorTickMark val="none"/>
        <c:tickLblPos val="nextTo"/>
        <c:spPr>
          <a:ln w="12700" cap="flat" cmpd="sng" algn="ctr">
            <a:solidFill>
              <a:srgbClr val="F9F9F9"/>
            </a:solidFill>
            <a:prstDash val="solid"/>
            <a:round/>
          </a:ln>
        </c:spPr>
        <c:txPr>
          <a:bodyPr rot="-60000000" spcFirstLastPara="0" vertOverflow="ellipsis" vert="horz" wrap="square" anchor="ctr" anchorCtr="1"/>
          <a:lstStyle/>
          <a:p>
            <a:pPr>
              <a:defRPr lang="zh-CN" sz="900" b="0" i="0" u="none" strike="noStrike" kern="1200" baseline="0">
                <a:solidFill>
                  <a:srgbClr val="939393"/>
                </a:solidFill>
                <a:latin typeface="Times New Roman" panose="02020603050405020304"/>
                <a:ea typeface="宋体" panose="02010600030101010101" charset="-122"/>
                <a:cs typeface="Arial" panose="020B0604020202020204" pitchFamily="2"/>
              </a:defRPr>
            </a:pPr>
          </a:p>
        </c:txPr>
        <c:crossAx val="1"/>
        <c:crosses val="autoZero"/>
        <c:auto val="1"/>
        <c:lblAlgn val="ctr"/>
        <c:lblOffset val="100"/>
        <c:noMultiLvlLbl val="0"/>
      </c:catAx>
      <c:valAx>
        <c:axId val="1"/>
        <c:scaling>
          <c:orientation val="minMax"/>
        </c:scaling>
        <c:delete val="0"/>
        <c:axPos val="l"/>
        <c:majorGridlines>
          <c:spPr>
            <a:ln w="12700" cap="flat" cmpd="sng" algn="ctr">
              <a:solidFill>
                <a:srgbClr val="F9F9F9"/>
              </a:solidFill>
              <a:prstDash val="solid"/>
              <a:round/>
            </a:ln>
          </c:spPr>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939393"/>
                </a:solidFill>
                <a:latin typeface="Times New Roman" panose="02020603050405020304"/>
                <a:ea typeface="宋体" panose="02010600030101010101" charset="-122"/>
                <a:cs typeface="Arial" panose="020B0604020202020204" pitchFamily="2"/>
              </a:defRPr>
            </a:pPr>
          </a:p>
        </c:txPr>
        <c:crossAx val="0"/>
        <c:crossesAt val="1"/>
        <c:crossBetween val="between"/>
      </c:valAx>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939393"/>
              </a:solidFill>
              <a:latin typeface="Times New Roman" panose="02020603050405020304"/>
              <a:ea typeface="宋体" panose="02010600030101010101" charset="-122"/>
              <a:cs typeface="Arial" panose="020B0604020202020204" pitchFamily="2"/>
            </a:defRPr>
          </a:pPr>
        </a:p>
      </c:txPr>
    </c:legend>
    <c:plotVisOnly val="1"/>
    <c:dispBlanksAs val="gap"/>
    <c:showDLblsOverMax val="0"/>
  </c:chart>
  <c:spPr>
    <a:solidFill>
      <a:srgbClr val="FFFFFF"/>
    </a:solidFill>
    <a:ln w="12700" cap="flat" cmpd="sng" algn="ctr">
      <a:solidFill>
        <a:srgbClr val="F9F9F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595959"/>
                </a:solidFill>
                <a:latin typeface="Times New Roman" panose="02020603050405020304"/>
                <a:ea typeface="宋体" panose="02010600030101010101" charset="-122"/>
                <a:cs typeface="Arial" panose="020B0604020202020204" pitchFamily="2"/>
              </a:defRPr>
            </a:pPr>
            <a:r>
              <a:rPr lang="zh-CN"/>
              <a:t>财政拨款收支与年初预算对比</a:t>
            </a:r>
            <a:endParaRPr lang="zh-CN"/>
          </a:p>
        </c:rich>
      </c:tx>
      <c:layout/>
      <c:overlay val="0"/>
      <c:spPr>
        <a:noFill/>
        <a:ln>
          <a:noFill/>
        </a:ln>
      </c:spPr>
    </c:title>
    <c:autoTitleDeleted val="0"/>
    <c:plotArea>
      <c:layout>
        <c:manualLayout>
          <c:layoutTarget val="inner"/>
          <c:xMode val="edge"/>
          <c:yMode val="edge"/>
          <c:x val="0.09369444"/>
          <c:y val="0.17986111"/>
          <c:w val="0.882"/>
          <c:h val="0.71212965"/>
        </c:manualLayout>
      </c:layout>
      <c:barChart>
        <c:barDir val="col"/>
        <c:grouping val="clustered"/>
        <c:varyColors val="0"/>
        <c:ser>
          <c:idx val="0"/>
          <c:order val="0"/>
          <c:spPr>
            <a:solidFill>
              <a:srgbClr val="5B9BD5"/>
            </a:solidFill>
            <a:ln>
              <a:noFill/>
            </a:ln>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Times New Roman" panose="02020603050405020304"/>
                    <a:ea typeface="宋体" panose="02010600030101010101" charset="-12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{"年初预算","财政拨款决算收入","财政拨款决算支出"}</c:f>
              <c:strCache>
                <c:ptCount val="3"/>
                <c:pt idx="0">
                  <c:v>年初预算</c:v>
                </c:pt>
                <c:pt idx="1">
                  <c:v>财政拨款决算收入</c:v>
                </c:pt>
                <c:pt idx="2">
                  <c:v>财政拨款决算支出</c:v>
                </c:pt>
              </c:strCache>
            </c:strRef>
          </c:cat>
          <c:val>
            <c:numRef>
              <c:f>{1363.78,1441.97,1447.99}</c:f>
              <c:numCache>
                <c:formatCode>General</c:formatCode>
                <c:ptCount val="3"/>
                <c:pt idx="0">
                  <c:v>1363.78</c:v>
                </c:pt>
                <c:pt idx="1">
                  <c:v>1441.97</c:v>
                </c:pt>
                <c:pt idx="2">
                  <c:v>1447.99</c:v>
                </c:pt>
              </c:numCache>
            </c:numRef>
          </c:val>
        </c:ser>
        <c:dLbls>
          <c:showLegendKey val="0"/>
          <c:showVal val="1"/>
          <c:showCatName val="0"/>
          <c:showSerName val="0"/>
          <c:showPercent val="0"/>
          <c:showBubbleSize val="0"/>
        </c:dLbls>
        <c:gapWidth val="219"/>
        <c:overlap val="-27"/>
        <c:axId val="0"/>
        <c:axId val="1"/>
      </c:barChart>
      <c:catAx>
        <c:axId val="0"/>
        <c:scaling>
          <c:orientation val="minMax"/>
        </c:scaling>
        <c:delete val="0"/>
        <c:axPos val="b"/>
        <c:numFmt formatCode="General" sourceLinked="0"/>
        <c:majorTickMark val="none"/>
        <c:minorTickMark val="none"/>
        <c:tickLblPos val="nextTo"/>
        <c:spPr>
          <a:ln w="1270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crossAx val="1"/>
        <c:crosses val="autoZero"/>
        <c:auto val="1"/>
        <c:lblAlgn val="ctr"/>
        <c:lblOffset val="100"/>
        <c:noMultiLvlLbl val="0"/>
      </c:catAx>
      <c:valAx>
        <c:axId val="1"/>
        <c:scaling>
          <c:orientation val="minMax"/>
        </c:scaling>
        <c:delete val="0"/>
        <c:axPos val="l"/>
        <c:majorGridlines>
          <c:spPr>
            <a:ln w="12700" cap="flat" cmpd="sng" algn="ctr">
              <a:solidFill>
                <a:srgbClr val="D9D9D9"/>
              </a:solidFill>
              <a:prstDash val="solid"/>
              <a:round/>
            </a:ln>
          </c:spPr>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crossAx val="0"/>
        <c:crossesAt val="1"/>
        <c:crossBetween val="between"/>
      </c:valAx>
      <c:spPr>
        <a:noFill/>
        <a:ln>
          <a:noFill/>
        </a:ln>
      </c:spPr>
    </c:plotArea>
    <c:plotVisOnly val="1"/>
    <c:dispBlanksAs val="gap"/>
    <c:showDLblsOverMax val="0"/>
  </c:chart>
  <c:spPr>
    <a:solidFill>
      <a:srgbClr val="FFFFFF"/>
    </a:solidFill>
    <a:ln w="1270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595959"/>
                </a:solidFill>
                <a:latin typeface="Times New Roman" panose="02020603050405020304"/>
                <a:ea typeface="宋体" panose="02010600030101010101" charset="-122"/>
                <a:cs typeface="Arial" panose="020B0604020202020204" pitchFamily="2"/>
              </a:defRPr>
            </a:pPr>
            <a:r>
              <a:rPr lang="zh-CN"/>
              <a:t>财政拨款支出</a:t>
            </a:r>
            <a:endParaRPr lang="zh-CN"/>
          </a:p>
        </c:rich>
      </c:tx>
      <c:layout/>
      <c:overlay val="0"/>
      <c:spPr>
        <a:ln>
          <a:noFill/>
        </a:ln>
      </c:spPr>
    </c:title>
    <c:autoTitleDeleted val="0"/>
    <c:plotArea>
      <c:layout>
        <c:manualLayout>
          <c:layoutTarget val="inner"/>
          <c:xMode val="edge"/>
          <c:yMode val="edge"/>
          <c:x val="0.15606605"/>
          <c:y val="0.07489469"/>
          <c:w val="0.54164153"/>
          <c:h val="0.7412813"/>
        </c:manualLayout>
      </c:layout>
      <c:pieChart>
        <c:varyColors val="1"/>
        <c:ser>
          <c:idx val="0"/>
          <c:order val="0"/>
          <c:tx>
            <c:strRef>
              <c:f>财政拨款支出</c:f>
              <c:strCache>
                <c:ptCount val="1"/>
                <c:pt idx="0">
                  <c:v>财政拨款支出</c:v>
                </c:pt>
              </c:strCache>
            </c:strRef>
          </c:tx>
          <c:spPr>
            <a:solidFill>
              <a:srgbClr val="4F81BD"/>
            </a:solidFill>
            <a:ln>
              <a:noFill/>
            </a:ln>
          </c:spPr>
          <c:explosion val="0"/>
          <c:dPt>
            <c:idx val="0"/>
            <c:bubble3D val="0"/>
            <c:explosion val="0"/>
            <c:spPr>
              <a:solidFill>
                <a:srgbClr val="4F81BD"/>
              </a:solidFill>
              <a:ln>
                <a:noFill/>
              </a:ln>
            </c:spPr>
          </c:dPt>
          <c:dPt>
            <c:idx val="1"/>
            <c:bubble3D val="0"/>
            <c:explosion val="0"/>
            <c:spPr>
              <a:solidFill>
                <a:srgbClr val="C0504D"/>
              </a:solidFill>
              <a:ln>
                <a:noFill/>
              </a:ln>
            </c:spPr>
          </c:dPt>
          <c:dPt>
            <c:idx val="2"/>
            <c:bubble3D val="0"/>
            <c:explosion val="0"/>
            <c:spPr>
              <a:solidFill>
                <a:srgbClr val="9BBB59"/>
              </a:solidFill>
              <a:ln>
                <a:noFill/>
              </a:ln>
            </c:spPr>
          </c:dPt>
          <c:dPt>
            <c:idx val="3"/>
            <c:bubble3D val="0"/>
            <c:explosion val="0"/>
            <c:spPr>
              <a:solidFill>
                <a:srgbClr val="8064A2"/>
              </a:solidFill>
              <a:ln>
                <a:noFill/>
              </a:ln>
            </c:spPr>
          </c:dPt>
          <c:dPt>
            <c:idx val="4"/>
            <c:bubble3D val="0"/>
            <c:explosion val="0"/>
            <c:spPr>
              <a:solidFill>
                <a:srgbClr val="4BACC6"/>
              </a:solidFill>
              <a:ln>
                <a:noFill/>
              </a:ln>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a:t>85.19%</a:t>
                    </a:r>
                    <a:endParaRPr lang="zh-CN"/>
                  </a:p>
                </c:rich>
              </c:tx>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a:t>5.54%</a:t>
                    </a:r>
                    <a:endParaRPr lang="zh-CN"/>
                  </a:p>
                </c:rich>
              </c:tx>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a:t>4.16%</a:t>
                    </a:r>
                    <a:endParaRPr lang="zh-CN"/>
                  </a:p>
                </c:rich>
              </c:tx>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a:t>5.11%</a:t>
                    </a:r>
                    <a:endParaRPr lang="zh-CN"/>
                  </a:p>
                </c:rich>
              </c:tx>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a:t>1.29%</a:t>
                    </a:r>
                    <a:endParaRPr lang="zh-CN"/>
                  </a:p>
                </c:rich>
              </c:tx>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bestFi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{"一般公共服务1233.52万元","社会保障和就业80.24万元","住房保障  60.23万元","卫生健康74万元",""}</c:f>
              <c:strCache>
                <c:ptCount val="5"/>
                <c:pt idx="0">
                  <c:v>一般公共服务1233.52万元</c:v>
                </c:pt>
                <c:pt idx="1">
                  <c:v>社会保障和就业80.24万元</c:v>
                </c:pt>
                <c:pt idx="2">
                  <c:v>住房保障  60.23万元</c:v>
                </c:pt>
                <c:pt idx="3">
                  <c:v>卫生健康74万元</c:v>
                </c:pt>
              </c:strCache>
            </c:strRef>
          </c:cat>
          <c:val>
            <c:numRef>
              <c:f>{0.8519,0.0554,0.0416,0.0511,#N/A}</c:f>
              <c:numCache>
                <c:formatCode>General</c:formatCode>
                <c:ptCount val="5"/>
                <c:pt idx="0">
                  <c:v>0.8519</c:v>
                </c:pt>
                <c:pt idx="1">
                  <c:v>0.0554</c:v>
                </c:pt>
                <c:pt idx="2">
                  <c:v>0.0416</c:v>
                </c:pt>
                <c:pt idx="3">
                  <c:v>0.0511</c:v>
                </c:pt>
              </c:numCache>
            </c:numRef>
          </c:val>
        </c:ser>
        <c:ser>
          <c:idx val="1"/>
          <c:order val="1"/>
          <c:spPr>
            <a:solidFill>
              <a:srgbClr val="ED7D31"/>
            </a:solidFill>
            <a:ln>
              <a:noFill/>
            </a:ln>
          </c:spPr>
          <c:explosion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{"一般公共服务1233.52万元","社会保障和就业80.24万元","住房保障  60.23万元","卫生健康74万元",""}</c:f>
              <c:strCache>
                <c:ptCount val="5"/>
                <c:pt idx="0">
                  <c:v>一般公共服务1233.52万元</c:v>
                </c:pt>
                <c:pt idx="1">
                  <c:v>社会保障和就业80.24万元</c:v>
                </c:pt>
                <c:pt idx="2">
                  <c:v>住房保障  60.23万元</c:v>
                </c:pt>
                <c:pt idx="3">
                  <c:v>卫生健康74万元</c:v>
                </c:pt>
              </c:strCache>
            </c:strRef>
          </c:cat>
          <c:val>
            <c:numRef>
              <c:f>{}</c:f>
            </c:numRef>
          </c:val>
        </c:ser>
        <c:ser>
          <c:idx val="2"/>
          <c:order val="2"/>
          <c:spPr>
            <a:solidFill>
              <a:srgbClr val="A5A5A5"/>
            </a:solidFill>
            <a:ln>
              <a:noFill/>
            </a:ln>
          </c:spPr>
          <c:explosion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{"一般公共服务1233.52万元","社会保障和就业80.24万元","住房保障  60.23万元","卫生健康74万元",""}</c:f>
              <c:strCache>
                <c:ptCount val="5"/>
                <c:pt idx="0">
                  <c:v>一般公共服务1233.52万元</c:v>
                </c:pt>
                <c:pt idx="1">
                  <c:v>社会保障和就业80.24万元</c:v>
                </c:pt>
                <c:pt idx="2">
                  <c:v>住房保障  60.23万元</c:v>
                </c:pt>
                <c:pt idx="3">
                  <c:v>卫生健康74万元</c:v>
                </c:pt>
              </c:strCache>
            </c:strRef>
          </c:cat>
          <c:val>
            <c:numRef>
              <c:f>{}</c:f>
            </c:numRef>
          </c:val>
        </c:ser>
        <c:dLbls>
          <c:showLegendKey val="0"/>
          <c:showVal val="1"/>
          <c:showCatName val="0"/>
          <c:showSerName val="0"/>
          <c:showPercent val="0"/>
          <c:showBubbleSize val="0"/>
          <c:showLeaderLines val="1"/>
        </c:dLbls>
        <c:firstSliceAng val="0"/>
      </c:pieChart>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Times New Roman" panose="02020603050405020304"/>
              <a:ea typeface="宋体" panose="02010600030101010101" charset="-122"/>
              <a:cs typeface="Arial" panose="020B0604020202020204" pitchFamily="2"/>
            </a:defRPr>
          </a:pPr>
        </a:p>
      </c:txPr>
    </c:legend>
    <c:plotVisOnly val="1"/>
    <c:dispBlanksAs val="gap"/>
    <c:showDLblsOverMax val="0"/>
  </c:chart>
  <c:spPr>
    <a:solidFill>
      <a:srgbClr val="FFFFFF"/>
    </a:solidFill>
    <a:ln w="1270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30</Pages>
  <Words>0</Words>
  <Characters>9611</Characters>
  <Lines>0</Lines>
  <Paragraphs>270</Paragraphs>
  <TotalTime>17</TotalTime>
  <ScaleCrop>false</ScaleCrop>
  <LinksUpToDate>false</LinksUpToDate>
  <CharactersWithSpaces>12815</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Administrator</cp:lastModifiedBy>
  <cp:lastPrinted>2021-10-22T00:25:49Z</cp:lastPrinted>
  <dcterms:modified xsi:type="dcterms:W3CDTF">2021-10-22T00:27:05Z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65FA352BAB5146309CB066C800874C19</vt:lpwstr>
  </property>
</Properties>
</file>